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89C6" w14:textId="77777777" w:rsidR="00FE6FB1" w:rsidRDefault="00DB69EB">
      <w:pPr>
        <w:spacing w:after="0" w:line="259" w:lineRule="auto"/>
        <w:ind w:left="32" w:firstLine="0"/>
        <w:jc w:val="center"/>
      </w:pPr>
      <w:r>
        <w:rPr>
          <w:b/>
        </w:rPr>
        <w:t xml:space="preserve">Ethylene Producers’ Committee </w:t>
      </w:r>
    </w:p>
    <w:p w14:paraId="15E3295B" w14:textId="77777777" w:rsidR="00FE6FB1" w:rsidRDefault="00DB69EB">
      <w:pPr>
        <w:spacing w:after="0" w:line="259" w:lineRule="auto"/>
        <w:ind w:left="45" w:hanging="10"/>
        <w:jc w:val="center"/>
      </w:pPr>
      <w:r>
        <w:rPr>
          <w:b/>
        </w:rPr>
        <w:t xml:space="preserve">Guidelines for Functioning of Programming Subcommittees </w:t>
      </w:r>
    </w:p>
    <w:p w14:paraId="46B632EB" w14:textId="043665B8" w:rsidR="00FE6FB1" w:rsidRPr="005C5255" w:rsidRDefault="00DB69EB">
      <w:pPr>
        <w:spacing w:after="0" w:line="259" w:lineRule="auto"/>
        <w:ind w:left="45" w:right="6" w:hanging="10"/>
        <w:jc w:val="center"/>
        <w:rPr>
          <w:color w:val="auto"/>
        </w:rPr>
      </w:pPr>
      <w:r w:rsidRPr="005C5255">
        <w:rPr>
          <w:b/>
          <w:color w:val="auto"/>
        </w:rPr>
        <w:t xml:space="preserve">Rev </w:t>
      </w:r>
      <w:r w:rsidR="000751F4" w:rsidRPr="005C5255">
        <w:rPr>
          <w:b/>
          <w:color w:val="auto"/>
        </w:rPr>
        <w:t>5</w:t>
      </w:r>
      <w:r w:rsidRPr="005C5255">
        <w:rPr>
          <w:b/>
          <w:color w:val="auto"/>
        </w:rPr>
        <w:t xml:space="preserve">, </w:t>
      </w:r>
      <w:r w:rsidR="000751F4" w:rsidRPr="005C5255">
        <w:rPr>
          <w:b/>
          <w:color w:val="auto"/>
        </w:rPr>
        <w:t>September 2025</w:t>
      </w:r>
    </w:p>
    <w:p w14:paraId="56CC3750" w14:textId="77777777" w:rsidR="00FE6FB1" w:rsidRDefault="00DB69EB">
      <w:pPr>
        <w:spacing w:after="0" w:line="259" w:lineRule="auto"/>
        <w:ind w:left="0" w:firstLine="0"/>
      </w:pPr>
      <w:r>
        <w:t xml:space="preserve"> </w:t>
      </w:r>
    </w:p>
    <w:p w14:paraId="7372DF03" w14:textId="77777777" w:rsidR="00FE6FB1" w:rsidRDefault="00DB69EB">
      <w:pPr>
        <w:spacing w:after="0" w:line="259" w:lineRule="auto"/>
        <w:ind w:left="0" w:firstLine="0"/>
      </w:pPr>
      <w:r>
        <w:t xml:space="preserve"> </w:t>
      </w:r>
    </w:p>
    <w:p w14:paraId="18E265F6" w14:textId="104A9D9B" w:rsidR="00FE6FB1" w:rsidRPr="005C5255" w:rsidRDefault="00DB69EB">
      <w:pPr>
        <w:spacing w:after="0" w:line="259" w:lineRule="auto"/>
        <w:ind w:left="0" w:firstLine="0"/>
      </w:pPr>
      <w:r w:rsidRPr="005C5255">
        <w:rPr>
          <w:u w:val="single" w:color="000000"/>
        </w:rPr>
        <w:t>Objective of the Ethylene Producers’ Committee (the Committee) (</w:t>
      </w:r>
      <w:r w:rsidR="00EF5BB0" w:rsidRPr="005C5255">
        <w:rPr>
          <w:u w:val="single" w:color="000000"/>
        </w:rPr>
        <w:t xml:space="preserve">from </w:t>
      </w:r>
      <w:r w:rsidRPr="005C5255">
        <w:rPr>
          <w:u w:val="single" w:color="000000"/>
        </w:rPr>
        <w:t>Article I</w:t>
      </w:r>
      <w:r w:rsidR="00EF5BB0" w:rsidRPr="005C5255">
        <w:rPr>
          <w:u w:val="single" w:color="000000"/>
        </w:rPr>
        <w:t>, Section 3 Bylaws of the EPC</w:t>
      </w:r>
      <w:r w:rsidRPr="005C5255">
        <w:rPr>
          <w:u w:val="single" w:color="000000"/>
        </w:rPr>
        <w:t>):</w:t>
      </w:r>
      <w:r w:rsidRPr="005C5255">
        <w:t xml:space="preserve"> </w:t>
      </w:r>
    </w:p>
    <w:p w14:paraId="406E4930" w14:textId="77777777" w:rsidR="00FE6FB1" w:rsidRPr="005C5255" w:rsidRDefault="00DB69EB">
      <w:pPr>
        <w:spacing w:after="0" w:line="259" w:lineRule="auto"/>
        <w:ind w:left="0" w:firstLine="0"/>
      </w:pPr>
      <w:r w:rsidRPr="005C5255">
        <w:t xml:space="preserve"> </w:t>
      </w:r>
    </w:p>
    <w:p w14:paraId="61FA8077" w14:textId="2A98C837" w:rsidR="00FE6FB1" w:rsidRPr="005C5255" w:rsidRDefault="00DB69EB">
      <w:pPr>
        <w:spacing w:after="1" w:line="237" w:lineRule="auto"/>
        <w:ind w:left="720" w:firstLine="0"/>
      </w:pPr>
      <w:r w:rsidRPr="005C5255">
        <w:t>“The objective(s) of the Committee shall be…. To provide a communication medium through meetings, seminars, courses, and publications for the exchange of non</w:t>
      </w:r>
      <w:r w:rsidR="00EF5BB0" w:rsidRPr="005C5255">
        <w:t>-</w:t>
      </w:r>
      <w:r w:rsidRPr="005C5255">
        <w:t xml:space="preserve">confidential information concerning the manufacture and distribution of ethylene.” </w:t>
      </w:r>
    </w:p>
    <w:p w14:paraId="621F40C0" w14:textId="77777777" w:rsidR="00FE6FB1" w:rsidRPr="005C5255" w:rsidRDefault="00DB69EB">
      <w:pPr>
        <w:spacing w:after="0" w:line="259" w:lineRule="auto"/>
        <w:ind w:left="0" w:firstLine="0"/>
      </w:pPr>
      <w:r w:rsidRPr="005C5255">
        <w:t xml:space="preserve"> </w:t>
      </w:r>
    </w:p>
    <w:p w14:paraId="6403F8B0" w14:textId="323F5DE3" w:rsidR="00FE6FB1" w:rsidRPr="005C5255" w:rsidRDefault="00DB69EB">
      <w:pPr>
        <w:spacing w:after="0" w:line="259" w:lineRule="auto"/>
        <w:ind w:left="-5" w:hanging="10"/>
      </w:pPr>
      <w:r w:rsidRPr="005C5255">
        <w:rPr>
          <w:u w:val="single" w:color="000000"/>
        </w:rPr>
        <w:t>Programming Subcommittees (</w:t>
      </w:r>
      <w:r w:rsidR="00EF5BB0" w:rsidRPr="005C5255">
        <w:rPr>
          <w:u w:val="single" w:color="000000"/>
        </w:rPr>
        <w:t xml:space="preserve">from </w:t>
      </w:r>
      <w:r w:rsidRPr="005C5255">
        <w:rPr>
          <w:u w:val="single" w:color="000000"/>
        </w:rPr>
        <w:t>Article V</w:t>
      </w:r>
      <w:r w:rsidR="00EF5BB0" w:rsidRPr="005C5255">
        <w:rPr>
          <w:u w:val="single" w:color="000000"/>
        </w:rPr>
        <w:t xml:space="preserve"> Bylaws of the </w:t>
      </w:r>
      <w:proofErr w:type="gramStart"/>
      <w:r w:rsidR="00EF5BB0" w:rsidRPr="005C5255">
        <w:rPr>
          <w:u w:val="single" w:color="000000"/>
        </w:rPr>
        <w:t xml:space="preserve">EPC </w:t>
      </w:r>
      <w:r w:rsidRPr="005C5255">
        <w:rPr>
          <w:u w:val="single" w:color="000000"/>
        </w:rPr>
        <w:t>)</w:t>
      </w:r>
      <w:proofErr w:type="gramEnd"/>
      <w:r w:rsidRPr="005C5255">
        <w:rPr>
          <w:u w:val="single" w:color="000000"/>
        </w:rPr>
        <w:t>:</w:t>
      </w:r>
      <w:r w:rsidRPr="005C5255">
        <w:t xml:space="preserve"> </w:t>
      </w:r>
    </w:p>
    <w:p w14:paraId="07686A35" w14:textId="77777777" w:rsidR="00FE6FB1" w:rsidRPr="005C5255" w:rsidRDefault="00DB69EB">
      <w:pPr>
        <w:spacing w:after="0" w:line="259" w:lineRule="auto"/>
        <w:ind w:left="0" w:firstLine="0"/>
      </w:pPr>
      <w:r w:rsidRPr="005C5255">
        <w:t xml:space="preserve"> </w:t>
      </w:r>
    </w:p>
    <w:p w14:paraId="2723B63F" w14:textId="374C33FD" w:rsidR="00EF5BB0" w:rsidRPr="005C5255" w:rsidRDefault="00EF5BB0" w:rsidP="00EF5BB0">
      <w:pPr>
        <w:spacing w:after="0" w:line="259" w:lineRule="auto"/>
        <w:ind w:left="720" w:firstLine="0"/>
      </w:pPr>
      <w:r w:rsidRPr="005C5255">
        <w:t>“Section 1. The Committee shall develop plans and policies for the Committee’s programming activities. The Committee Chair shall appoint Committee members to coordinate the implementation of such plans and policies, in each subject area that the Committee shall establish, through Programming Subcommittees. The members of such Programming Subcommittees may be made up of other Committee members and/or other qualified personnel selected by the coordinating Committee Member. Powers and authority of the Programming Subcommittees, including, but not limited to, formation, dissolution, change of focus, expenditures, deviation from Committee plans, and member company surveys, shall be expressly authorized by the Committee.”</w:t>
      </w:r>
    </w:p>
    <w:p w14:paraId="5CCDF076" w14:textId="77777777" w:rsidR="00EF5BB0" w:rsidRPr="005C5255" w:rsidRDefault="00EF5BB0" w:rsidP="00EF5BB0">
      <w:pPr>
        <w:spacing w:after="0" w:line="259" w:lineRule="auto"/>
        <w:ind w:left="0" w:firstLine="0"/>
      </w:pPr>
    </w:p>
    <w:p w14:paraId="694D6E96" w14:textId="466E4A76" w:rsidR="00FE6FB1" w:rsidRDefault="00EF5BB0" w:rsidP="00EF5BB0">
      <w:pPr>
        <w:spacing w:after="0" w:line="259" w:lineRule="auto"/>
        <w:ind w:left="720" w:firstLine="0"/>
      </w:pPr>
      <w:r w:rsidRPr="005C5255">
        <w:t xml:space="preserve">“Section 2. Programming Subcommittee membership must include at least one member of the Committee. A member of the Committee, serving as Subcommittee Chair, Subcommittee Vice-Chair, or Director, will provide guidance and leadership to the Programming Subcommittee to ensure Committee plans are implemented. The member will report Subcommittee progress toward implementation of Committee plans to the Committee at Committee meetings. The member is responsible </w:t>
      </w:r>
      <w:proofErr w:type="gramStart"/>
      <w:r w:rsidRPr="005C5255">
        <w:t>to raise</w:t>
      </w:r>
      <w:proofErr w:type="gramEnd"/>
      <w:r w:rsidRPr="005C5255">
        <w:t xml:space="preserve"> powers and authority items described in Section 1 with the Committee.</w:t>
      </w:r>
      <w:r w:rsidR="00DB69EB">
        <w:t xml:space="preserve"> </w:t>
      </w:r>
    </w:p>
    <w:p w14:paraId="6F7DD2D5" w14:textId="77777777" w:rsidR="00EF5BB0" w:rsidRDefault="00EF5BB0">
      <w:pPr>
        <w:spacing w:after="0" w:line="259" w:lineRule="auto"/>
        <w:ind w:left="-5" w:hanging="10"/>
        <w:rPr>
          <w:u w:val="single" w:color="000000"/>
        </w:rPr>
      </w:pPr>
    </w:p>
    <w:p w14:paraId="5A98659B" w14:textId="102B7D97" w:rsidR="00FE6FB1" w:rsidRDefault="00DB69EB">
      <w:pPr>
        <w:spacing w:after="0" w:line="259" w:lineRule="auto"/>
        <w:ind w:left="-5" w:hanging="10"/>
      </w:pPr>
      <w:r>
        <w:rPr>
          <w:u w:val="single" w:color="000000"/>
        </w:rPr>
        <w:t>Principles to be applied in the functioning of Programming Subcommittees:</w:t>
      </w:r>
      <w:r>
        <w:t xml:space="preserve"> </w:t>
      </w:r>
    </w:p>
    <w:p w14:paraId="237EC17A" w14:textId="77777777" w:rsidR="00FE6FB1" w:rsidRDefault="00DB69EB">
      <w:pPr>
        <w:spacing w:after="7" w:line="259" w:lineRule="auto"/>
        <w:ind w:left="720" w:firstLine="0"/>
      </w:pPr>
      <w:r>
        <w:t xml:space="preserve"> </w:t>
      </w:r>
    </w:p>
    <w:p w14:paraId="50D13AD0" w14:textId="77777777" w:rsidR="00FE6FB1" w:rsidRDefault="00DB69EB">
      <w:pPr>
        <w:numPr>
          <w:ilvl w:val="0"/>
          <w:numId w:val="1"/>
        </w:numPr>
        <w:ind w:hanging="360"/>
      </w:pPr>
      <w:r>
        <w:t xml:space="preserve">The Ethylene Producers’ Committee is a 501(c)(3) Educational Non-Profit organization whose purpose is the dissemination of non-confidential educational information on the manufacture and distribution of ethylene. </w:t>
      </w:r>
    </w:p>
    <w:p w14:paraId="05CA2112" w14:textId="77777777" w:rsidR="00FE6FB1" w:rsidRDefault="00DB69EB">
      <w:pPr>
        <w:numPr>
          <w:ilvl w:val="0"/>
          <w:numId w:val="1"/>
        </w:numPr>
        <w:ind w:hanging="360"/>
      </w:pPr>
      <w:r>
        <w:t xml:space="preserve">Programming Subcommittees exist for the purpose of developing and delivering high quality conference programs.  They serve as one of the principle means of </w:t>
      </w:r>
      <w:proofErr w:type="gramStart"/>
      <w:r>
        <w:t>filling</w:t>
      </w:r>
      <w:proofErr w:type="gramEnd"/>
      <w:r>
        <w:t xml:space="preserve"> the educational mission of the Committee. </w:t>
      </w:r>
    </w:p>
    <w:p w14:paraId="36636B68" w14:textId="35E8ED48" w:rsidR="00FE6FB1" w:rsidRDefault="00DB69EB">
      <w:pPr>
        <w:numPr>
          <w:ilvl w:val="0"/>
          <w:numId w:val="1"/>
        </w:numPr>
        <w:ind w:hanging="360"/>
      </w:pPr>
      <w:r>
        <w:t xml:space="preserve">All subcommittee members serve the general interest of the EPC, with their actions supporting the objectives of the Committee. </w:t>
      </w:r>
    </w:p>
    <w:p w14:paraId="37DDFC47" w14:textId="77777777" w:rsidR="00D02989" w:rsidRDefault="00D02989" w:rsidP="00D02989">
      <w:pPr>
        <w:spacing w:after="19"/>
        <w:ind w:left="705" w:firstLine="0"/>
      </w:pPr>
    </w:p>
    <w:p w14:paraId="027D1105" w14:textId="7718300E" w:rsidR="00FB06B7" w:rsidRPr="005C5255" w:rsidRDefault="00322DAD" w:rsidP="00322DAD">
      <w:pPr>
        <w:numPr>
          <w:ilvl w:val="0"/>
          <w:numId w:val="1"/>
        </w:numPr>
        <w:spacing w:after="19"/>
        <w:ind w:hanging="360"/>
        <w:rPr>
          <w:color w:val="auto"/>
        </w:rPr>
      </w:pPr>
      <w:r w:rsidRPr="005C5255">
        <w:rPr>
          <w:color w:val="auto"/>
        </w:rPr>
        <w:lastRenderedPageBreak/>
        <w:t>Unless there has been discussion and alignment with the Main EPC committee on external input and participation, a</w:t>
      </w:r>
      <w:r w:rsidR="00FB06B7" w:rsidRPr="005C5255">
        <w:rPr>
          <w:color w:val="auto"/>
        </w:rPr>
        <w:t>ll Committee and subcommittee members</w:t>
      </w:r>
      <w:r w:rsidR="008D5977" w:rsidRPr="005C5255">
        <w:rPr>
          <w:color w:val="auto"/>
        </w:rPr>
        <w:t>’</w:t>
      </w:r>
      <w:r w:rsidR="00FB06B7" w:rsidRPr="005C5255">
        <w:rPr>
          <w:color w:val="auto"/>
        </w:rPr>
        <w:t xml:space="preserve"> </w:t>
      </w:r>
      <w:r w:rsidR="00D02989" w:rsidRPr="005C5255">
        <w:rPr>
          <w:color w:val="auto"/>
        </w:rPr>
        <w:t xml:space="preserve">participation and interaction </w:t>
      </w:r>
      <w:r w:rsidR="00FB06B7" w:rsidRPr="005C5255">
        <w:rPr>
          <w:color w:val="auto"/>
        </w:rPr>
        <w:t>with external publications, 3</w:t>
      </w:r>
      <w:r w:rsidR="00FB06B7" w:rsidRPr="005C5255">
        <w:rPr>
          <w:color w:val="auto"/>
          <w:vertAlign w:val="superscript"/>
        </w:rPr>
        <w:t>rd</w:t>
      </w:r>
      <w:r w:rsidR="00FB06B7" w:rsidRPr="005C5255">
        <w:rPr>
          <w:color w:val="auto"/>
        </w:rPr>
        <w:t xml:space="preserve"> parties, gov’t entities and universities</w:t>
      </w:r>
      <w:r w:rsidR="00D02989" w:rsidRPr="005C5255">
        <w:rPr>
          <w:color w:val="auto"/>
        </w:rPr>
        <w:t xml:space="preserve"> should reflect i</w:t>
      </w:r>
      <w:r w:rsidR="00FB06B7" w:rsidRPr="005C5255">
        <w:rPr>
          <w:color w:val="auto"/>
        </w:rPr>
        <w:t xml:space="preserve">ndividual work, efforts, and collaboration of </w:t>
      </w:r>
      <w:r w:rsidR="00D02989" w:rsidRPr="005C5255">
        <w:rPr>
          <w:color w:val="auto"/>
        </w:rPr>
        <w:t xml:space="preserve">the </w:t>
      </w:r>
      <w:r w:rsidR="00FB06B7" w:rsidRPr="005C5255">
        <w:rPr>
          <w:color w:val="auto"/>
        </w:rPr>
        <w:t>members acting in a personal capacity.</w:t>
      </w:r>
      <w:r w:rsidR="00D02989" w:rsidRPr="005C5255">
        <w:rPr>
          <w:color w:val="auto"/>
        </w:rPr>
        <w:t xml:space="preserve">  </w:t>
      </w:r>
      <w:r w:rsidR="00FB06B7" w:rsidRPr="005C5255">
        <w:rPr>
          <w:color w:val="auto"/>
        </w:rPr>
        <w:t xml:space="preserve">They should not be represented, nor should they be construed as </w:t>
      </w:r>
      <w:r w:rsidRPr="005C5255">
        <w:rPr>
          <w:color w:val="auto"/>
        </w:rPr>
        <w:t>representing</w:t>
      </w:r>
      <w:r w:rsidR="00FB06B7" w:rsidRPr="005C5255">
        <w:rPr>
          <w:color w:val="auto"/>
        </w:rPr>
        <w:t xml:space="preserve"> any officially sanctioned or approved initiative of the Ethylene Producers Committee (EPC)</w:t>
      </w:r>
      <w:r w:rsidRPr="005C5255">
        <w:rPr>
          <w:color w:val="auto"/>
        </w:rPr>
        <w:t>.</w:t>
      </w:r>
    </w:p>
    <w:p w14:paraId="76E6F014" w14:textId="77777777" w:rsidR="00D02989" w:rsidRPr="005C5255" w:rsidRDefault="00D02989" w:rsidP="00D02989">
      <w:pPr>
        <w:spacing w:after="19"/>
        <w:ind w:left="1337" w:firstLine="0"/>
        <w:rPr>
          <w:color w:val="auto"/>
        </w:rPr>
      </w:pPr>
    </w:p>
    <w:p w14:paraId="1F1C53A5" w14:textId="57E499E2" w:rsidR="00FE6FB1" w:rsidRPr="005C5255" w:rsidRDefault="00DB69EB">
      <w:pPr>
        <w:numPr>
          <w:ilvl w:val="0"/>
          <w:numId w:val="1"/>
        </w:numPr>
        <w:ind w:hanging="360"/>
        <w:rPr>
          <w:color w:val="auto"/>
        </w:rPr>
      </w:pPr>
      <w:r w:rsidRPr="005C5255">
        <w:rPr>
          <w:color w:val="auto"/>
        </w:rPr>
        <w:t xml:space="preserve">All actions (meetings, correspondence, and personal interactions) of the Committee and subcommittee members shall be </w:t>
      </w:r>
      <w:proofErr w:type="gramStart"/>
      <w:r w:rsidRPr="005C5255">
        <w:rPr>
          <w:color w:val="auto"/>
        </w:rPr>
        <w:t>at</w:t>
      </w:r>
      <w:proofErr w:type="gramEnd"/>
      <w:r w:rsidRPr="005C5255">
        <w:rPr>
          <w:color w:val="auto"/>
        </w:rPr>
        <w:t xml:space="preserve"> the highest professional standard. </w:t>
      </w:r>
    </w:p>
    <w:p w14:paraId="1CC192C5" w14:textId="4589EFB4" w:rsidR="00FE6FB1" w:rsidRPr="005C5255" w:rsidRDefault="00DB69EB">
      <w:pPr>
        <w:numPr>
          <w:ilvl w:val="0"/>
          <w:numId w:val="1"/>
        </w:numPr>
        <w:spacing w:after="19"/>
        <w:ind w:hanging="360"/>
        <w:rPr>
          <w:color w:val="auto"/>
        </w:rPr>
      </w:pPr>
      <w:r w:rsidRPr="005C5255">
        <w:rPr>
          <w:color w:val="auto"/>
        </w:rPr>
        <w:t xml:space="preserve">All subcommittee activities shall follow the relevant bylaws of the EPC related to antitrust compliance: </w:t>
      </w:r>
    </w:p>
    <w:p w14:paraId="64281D1F" w14:textId="77777777" w:rsidR="008B4DB5" w:rsidRDefault="00DB69EB" w:rsidP="008B4DB5">
      <w:pPr>
        <w:pStyle w:val="ListParagraph"/>
        <w:numPr>
          <w:ilvl w:val="0"/>
          <w:numId w:val="4"/>
        </w:numPr>
        <w:spacing w:after="71" w:line="310" w:lineRule="auto"/>
        <w:ind w:right="-30"/>
      </w:pPr>
      <w:r w:rsidRPr="005C5255">
        <w:rPr>
          <w:color w:val="auto"/>
        </w:rPr>
        <w:t xml:space="preserve">Following </w:t>
      </w:r>
      <w:r>
        <w:t>guidance from a member of the</w:t>
      </w:r>
      <w:r w:rsidR="008B4DB5">
        <w:t xml:space="preserve"> C</w:t>
      </w:r>
      <w:r>
        <w:t>ommittee</w:t>
      </w:r>
    </w:p>
    <w:p w14:paraId="7F4D8260" w14:textId="77777777" w:rsidR="008B4DB5" w:rsidRDefault="00DB69EB" w:rsidP="008B4DB5">
      <w:pPr>
        <w:pStyle w:val="ListParagraph"/>
        <w:numPr>
          <w:ilvl w:val="0"/>
          <w:numId w:val="4"/>
        </w:numPr>
        <w:spacing w:after="71" w:line="310" w:lineRule="auto"/>
        <w:ind w:right="-30"/>
      </w:pPr>
      <w:r>
        <w:t>Reading of the antitrust compliance statement</w:t>
      </w:r>
    </w:p>
    <w:p w14:paraId="2DD7CD78" w14:textId="77777777" w:rsidR="008B4DB5" w:rsidRDefault="00DB69EB" w:rsidP="008B4DB5">
      <w:pPr>
        <w:pStyle w:val="ListParagraph"/>
        <w:numPr>
          <w:ilvl w:val="0"/>
          <w:numId w:val="4"/>
        </w:numPr>
        <w:spacing w:after="71" w:line="310" w:lineRule="auto"/>
        <w:ind w:right="-30"/>
      </w:pPr>
      <w:r>
        <w:t xml:space="preserve">Publishing &amp; distributing minutes of meetings </w:t>
      </w:r>
    </w:p>
    <w:p w14:paraId="482B9E5F" w14:textId="77777777" w:rsidR="008B4DB5" w:rsidRDefault="008B4DB5" w:rsidP="008B4DB5">
      <w:pPr>
        <w:spacing w:after="71" w:line="310" w:lineRule="auto"/>
        <w:ind w:left="1156" w:right="-30" w:firstLine="0"/>
      </w:pPr>
    </w:p>
    <w:p w14:paraId="49286163" w14:textId="4AF23016" w:rsidR="00FE6FB1" w:rsidRPr="005C5255" w:rsidRDefault="00DB69EB" w:rsidP="008B4DB5">
      <w:pPr>
        <w:spacing w:after="71" w:line="310" w:lineRule="auto"/>
        <w:ind w:left="0" w:right="-30" w:firstLine="0"/>
      </w:pPr>
      <w:r w:rsidRPr="005C5255">
        <w:rPr>
          <w:u w:val="single" w:color="000000"/>
        </w:rPr>
        <w:t>Subcommittee Governance:</w:t>
      </w:r>
      <w:r w:rsidRPr="005C5255">
        <w:t xml:space="preserve"> </w:t>
      </w:r>
    </w:p>
    <w:p w14:paraId="2D2CFA4B" w14:textId="155AC78A" w:rsidR="00FE6FB1" w:rsidRPr="005C5255" w:rsidRDefault="00DB69EB">
      <w:pPr>
        <w:numPr>
          <w:ilvl w:val="0"/>
          <w:numId w:val="1"/>
        </w:numPr>
        <w:ind w:hanging="360"/>
      </w:pPr>
      <w:r w:rsidRPr="005C5255">
        <w:t xml:space="preserve">Subcommittees may create written Operating Rules.  Subcommittee Operating Rules must be reviewed by the EPC Nominating Committee and approved by the EPC </w:t>
      </w:r>
      <w:r w:rsidR="00A6534F" w:rsidRPr="005C5255">
        <w:t xml:space="preserve">main committee </w:t>
      </w:r>
      <w:r w:rsidRPr="005C5255">
        <w:t xml:space="preserve">prior to implementation. </w:t>
      </w:r>
    </w:p>
    <w:p w14:paraId="318AD53B" w14:textId="77777777" w:rsidR="00FE6FB1" w:rsidRPr="005C5255" w:rsidRDefault="00DB69EB">
      <w:pPr>
        <w:numPr>
          <w:ilvl w:val="0"/>
          <w:numId w:val="1"/>
        </w:numPr>
        <w:ind w:hanging="360"/>
      </w:pPr>
      <w:r w:rsidRPr="005C5255">
        <w:t xml:space="preserve">Operating Rules may include limitations on Subcommittee membership.  In the absence of written Operating Rules, Subcommittee membership shall be governed by a process </w:t>
      </w:r>
      <w:proofErr w:type="gramStart"/>
      <w:r w:rsidRPr="005C5255">
        <w:t>similar to</w:t>
      </w:r>
      <w:proofErr w:type="gramEnd"/>
      <w:r w:rsidRPr="005C5255">
        <w:t xml:space="preserve"> that described in the EPC Bylaws for Committee membership: </w:t>
      </w:r>
    </w:p>
    <w:p w14:paraId="362304F0" w14:textId="77777777" w:rsidR="00FE6FB1" w:rsidRPr="005C5255" w:rsidRDefault="00DB69EB">
      <w:pPr>
        <w:numPr>
          <w:ilvl w:val="0"/>
          <w:numId w:val="2"/>
        </w:numPr>
        <w:ind w:hanging="360"/>
      </w:pPr>
      <w:r w:rsidRPr="005C5255">
        <w:t xml:space="preserve">Candidates in the employ of Ethylene Producers and licensors of ethylene producing technology shall be nominated by the EPC member employed by that company. </w:t>
      </w:r>
    </w:p>
    <w:p w14:paraId="7881301E" w14:textId="77777777" w:rsidR="00FE6FB1" w:rsidRDefault="00DB69EB">
      <w:pPr>
        <w:numPr>
          <w:ilvl w:val="0"/>
          <w:numId w:val="2"/>
        </w:numPr>
        <w:ind w:hanging="360"/>
      </w:pPr>
      <w:r>
        <w:t xml:space="preserve">Candidates in the </w:t>
      </w:r>
      <w:proofErr w:type="gramStart"/>
      <w:r>
        <w:t>employ</w:t>
      </w:r>
      <w:proofErr w:type="gramEnd"/>
      <w:r>
        <w:t xml:space="preserve"> of other companies, including consultants, shall be nominated by a Subcommittee member.  These candidates shall be accepted for membership by vote of a simple majority at a regularly scheduled Subcommittee meeting. </w:t>
      </w:r>
    </w:p>
    <w:p w14:paraId="0F1FF34D" w14:textId="77777777" w:rsidR="00FE6FB1" w:rsidRDefault="00DB69EB">
      <w:pPr>
        <w:numPr>
          <w:ilvl w:val="0"/>
          <w:numId w:val="2"/>
        </w:numPr>
        <w:spacing w:after="107"/>
        <w:ind w:hanging="360"/>
      </w:pPr>
      <w:r>
        <w:t xml:space="preserve">Subcommittee member composition shall be consistent with the intent of the bylaws governing the EPC, with not less than 50% of members employed by Ethylene Producers. </w:t>
      </w:r>
    </w:p>
    <w:p w14:paraId="57C582F3" w14:textId="77777777" w:rsidR="00FE6FB1" w:rsidRDefault="00DB69EB">
      <w:pPr>
        <w:spacing w:after="127" w:line="259" w:lineRule="auto"/>
        <w:ind w:left="730" w:hanging="10"/>
      </w:pPr>
      <w:r>
        <w:rPr>
          <w:u w:val="single" w:color="000000"/>
        </w:rPr>
        <w:t>Subcommittee Behaviors:</w:t>
      </w:r>
      <w:r>
        <w:t xml:space="preserve"> </w:t>
      </w:r>
    </w:p>
    <w:p w14:paraId="4F3D8409" w14:textId="77777777" w:rsidR="00FE6FB1" w:rsidRDefault="00DB69EB">
      <w:pPr>
        <w:numPr>
          <w:ilvl w:val="0"/>
          <w:numId w:val="3"/>
        </w:numPr>
        <w:ind w:hanging="360"/>
      </w:pPr>
      <w:r>
        <w:t xml:space="preserve">All members of sub-committees are full participants in process of developing the conference program, soliciting papers, supporting authors in the development of the papers, and assisting in execution of a successful conference session.  Regular attendance and active engagement at Subcommittee meetings is expected. </w:t>
      </w:r>
    </w:p>
    <w:p w14:paraId="3E86A460" w14:textId="77777777" w:rsidR="00EF5BB0" w:rsidRDefault="00EF5BB0" w:rsidP="00EF5BB0"/>
    <w:p w14:paraId="05FF2C5B" w14:textId="77777777" w:rsidR="00FE6FB1" w:rsidRDefault="00DB69EB">
      <w:pPr>
        <w:numPr>
          <w:ilvl w:val="0"/>
          <w:numId w:val="3"/>
        </w:numPr>
        <w:ind w:hanging="360"/>
      </w:pPr>
      <w:r>
        <w:lastRenderedPageBreak/>
        <w:t xml:space="preserve">Periodic rotation of responsibility for subcommittee leadership roles is encouraged as a means of engaging contribution and improvement ideas from as many subcommittee members as possible.  It is good practice to rotate subcommittee leadership roles at least every two years.  </w:t>
      </w:r>
    </w:p>
    <w:p w14:paraId="295565CB" w14:textId="77777777" w:rsidR="00FE6FB1" w:rsidRDefault="00DB69EB">
      <w:pPr>
        <w:numPr>
          <w:ilvl w:val="0"/>
          <w:numId w:val="3"/>
        </w:numPr>
        <w:spacing w:after="108"/>
        <w:ind w:hanging="360"/>
      </w:pPr>
      <w:r>
        <w:t xml:space="preserve">The mission of the EPC is dependent on the ability to attract excellent authors to invest the time and effort to prepare papers and share information that is of value to the industry.  Authors shall be treated in a way that reflects the appreciation and respect of the EPC. </w:t>
      </w:r>
    </w:p>
    <w:p w14:paraId="4C2EE234" w14:textId="77777777" w:rsidR="00FE6FB1" w:rsidRDefault="00DB69EB">
      <w:pPr>
        <w:spacing w:after="127" w:line="259" w:lineRule="auto"/>
        <w:ind w:left="730" w:hanging="10"/>
      </w:pPr>
      <w:r>
        <w:rPr>
          <w:u w:val="single" w:color="000000"/>
        </w:rPr>
        <w:t>Interaction with Authors:</w:t>
      </w:r>
      <w:r>
        <w:t xml:space="preserve"> </w:t>
      </w:r>
    </w:p>
    <w:p w14:paraId="3DA8CD57" w14:textId="77777777" w:rsidR="00FE6FB1" w:rsidRDefault="00DB69EB">
      <w:pPr>
        <w:numPr>
          <w:ilvl w:val="0"/>
          <w:numId w:val="3"/>
        </w:numPr>
        <w:ind w:hanging="360"/>
      </w:pPr>
      <w:r>
        <w:t xml:space="preserve">Subcommittees shall collaborate and cooperate with authors to ensure that papers meet the requirements of the EPC while respecting the responsibilities that authors may have to others (employers, funding agencies, etc.) </w:t>
      </w:r>
    </w:p>
    <w:p w14:paraId="0FDA6464" w14:textId="77777777" w:rsidR="00FE6FB1" w:rsidRDefault="00DB69EB" w:rsidP="00203577">
      <w:pPr>
        <w:numPr>
          <w:ilvl w:val="0"/>
          <w:numId w:val="3"/>
        </w:numPr>
        <w:spacing w:after="18"/>
        <w:ind w:hanging="360"/>
      </w:pPr>
      <w:r>
        <w:t xml:space="preserve">When a paper describes a commercialized technology, co-authorship by an Ethylene Producer is strongly encouraged.  The reasons for this co-authorship are as follows: </w:t>
      </w:r>
    </w:p>
    <w:p w14:paraId="484A0561" w14:textId="77777777" w:rsidR="00FE6FB1" w:rsidRDefault="00DB69EB" w:rsidP="00203577">
      <w:pPr>
        <w:numPr>
          <w:ilvl w:val="2"/>
          <w:numId w:val="5"/>
        </w:numPr>
        <w:spacing w:after="20"/>
      </w:pPr>
      <w:r>
        <w:t xml:space="preserve">To ensure the producing company employing the commercialized technology </w:t>
      </w:r>
      <w:proofErr w:type="gramStart"/>
      <w:r>
        <w:t>is in agreement</w:t>
      </w:r>
      <w:proofErr w:type="gramEnd"/>
      <w:r>
        <w:t xml:space="preserve"> with claims made related to the performance of the technology. </w:t>
      </w:r>
    </w:p>
    <w:p w14:paraId="5ABD24CA" w14:textId="77777777" w:rsidR="00FE6FB1" w:rsidRDefault="00DB69EB" w:rsidP="00203577">
      <w:pPr>
        <w:numPr>
          <w:ilvl w:val="2"/>
          <w:numId w:val="5"/>
        </w:numPr>
      </w:pPr>
      <w:r>
        <w:t xml:space="preserve">To ensure the producing company employing the commercialized technology has reviewed and is comfortable with any operating data to be disclosed in the paper. </w:t>
      </w:r>
    </w:p>
    <w:p w14:paraId="25394F52" w14:textId="77777777" w:rsidR="00FE6FB1" w:rsidRDefault="00DB69EB" w:rsidP="00203577">
      <w:pPr>
        <w:numPr>
          <w:ilvl w:val="0"/>
          <w:numId w:val="3"/>
        </w:numPr>
        <w:ind w:hanging="360"/>
      </w:pPr>
      <w:r>
        <w:t xml:space="preserve">Papers must focus on presenting technical information of benefit and interest to the ethylene producing industry rather than “selling” to the industry. </w:t>
      </w:r>
    </w:p>
    <w:p w14:paraId="22A4D2E2" w14:textId="77777777" w:rsidR="00FE6FB1" w:rsidRDefault="00DB69EB" w:rsidP="00203577">
      <w:pPr>
        <w:numPr>
          <w:ilvl w:val="0"/>
          <w:numId w:val="3"/>
        </w:numPr>
        <w:ind w:hanging="360"/>
      </w:pPr>
      <w:r>
        <w:t xml:space="preserve">Prior to accepting a paper, authors must be informed of the following expectations of presenters, consistent with policies published on the EPC website: </w:t>
      </w:r>
    </w:p>
    <w:p w14:paraId="283AF6A1" w14:textId="77777777" w:rsidR="00FE6FB1" w:rsidRDefault="00DB69EB" w:rsidP="00203577">
      <w:pPr>
        <w:numPr>
          <w:ilvl w:val="2"/>
          <w:numId w:val="5"/>
        </w:numPr>
        <w:spacing w:after="19"/>
      </w:pPr>
      <w:r>
        <w:t xml:space="preserve">A written abstract, a written paper, and a PowerPoint presentation </w:t>
      </w:r>
      <w:proofErr w:type="gramStart"/>
      <w:r>
        <w:t>is</w:t>
      </w:r>
      <w:proofErr w:type="gramEnd"/>
      <w:r>
        <w:t xml:space="preserve"> required. </w:t>
      </w:r>
    </w:p>
    <w:p w14:paraId="79143FBF" w14:textId="77777777" w:rsidR="00FE6FB1" w:rsidRDefault="00DB69EB" w:rsidP="00203577">
      <w:pPr>
        <w:numPr>
          <w:ilvl w:val="2"/>
          <w:numId w:val="5"/>
        </w:numPr>
        <w:spacing w:after="38"/>
      </w:pPr>
      <w:r>
        <w:t xml:space="preserve">Permission To Publish must be granted </w:t>
      </w:r>
    </w:p>
    <w:p w14:paraId="18DE8A9C" w14:textId="77777777" w:rsidR="00FE6FB1" w:rsidRDefault="00DB69EB" w:rsidP="00203577">
      <w:pPr>
        <w:numPr>
          <w:ilvl w:val="2"/>
          <w:numId w:val="5"/>
        </w:numPr>
      </w:pPr>
      <w:r>
        <w:t xml:space="preserve">Conference deadlines must be met to ensure a quality conference program.    </w:t>
      </w:r>
    </w:p>
    <w:p w14:paraId="2C783ED7" w14:textId="77777777" w:rsidR="00FE6FB1" w:rsidRDefault="00DB69EB" w:rsidP="00203577">
      <w:pPr>
        <w:numPr>
          <w:ilvl w:val="0"/>
          <w:numId w:val="3"/>
        </w:numPr>
        <w:ind w:hanging="360"/>
      </w:pPr>
      <w:r>
        <w:t xml:space="preserve">Subcommittee leaders and Session Chairs are responsible for collaborating with authors to ensure that papers and presentations are suitable for publication prior to presentation at the conference.  This includes: </w:t>
      </w:r>
    </w:p>
    <w:p w14:paraId="1C0F927A" w14:textId="77777777" w:rsidR="00FE6FB1" w:rsidRDefault="00DB69EB" w:rsidP="00203577">
      <w:pPr>
        <w:numPr>
          <w:ilvl w:val="2"/>
          <w:numId w:val="5"/>
        </w:numPr>
        <w:spacing w:after="36"/>
      </w:pPr>
      <w:r>
        <w:t xml:space="preserve">Removal of all labels indicating that content is proprietary or confidential. </w:t>
      </w:r>
    </w:p>
    <w:p w14:paraId="1C731A07" w14:textId="77777777" w:rsidR="00FE6FB1" w:rsidRDefault="00DB69EB" w:rsidP="00203577">
      <w:pPr>
        <w:numPr>
          <w:ilvl w:val="2"/>
          <w:numId w:val="5"/>
        </w:numPr>
      </w:pPr>
      <w:r>
        <w:t xml:space="preserve">Solicitations for future contact with the author related to sales calls or support. </w:t>
      </w:r>
    </w:p>
    <w:sectPr w:rsidR="00FE6FB1">
      <w:footerReference w:type="even" r:id="rId7"/>
      <w:footerReference w:type="default" r:id="rId8"/>
      <w:footerReference w:type="first" r:id="rId9"/>
      <w:pgSz w:w="12240" w:h="15840"/>
      <w:pgMar w:top="1492" w:right="1470" w:bottom="1481" w:left="144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302DF" w14:textId="77777777" w:rsidR="00DB69EB" w:rsidRDefault="00DB69EB">
      <w:pPr>
        <w:spacing w:after="0" w:line="240" w:lineRule="auto"/>
      </w:pPr>
      <w:r>
        <w:separator/>
      </w:r>
    </w:p>
  </w:endnote>
  <w:endnote w:type="continuationSeparator" w:id="0">
    <w:p w14:paraId="492BE722" w14:textId="77777777" w:rsidR="00DB69EB" w:rsidRDefault="00DB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2F2A" w14:textId="77777777" w:rsidR="00FE6FB1" w:rsidRDefault="00DB69EB">
    <w:pPr>
      <w:tabs>
        <w:tab w:val="center" w:pos="4321"/>
        <w:tab w:val="right" w:pos="9329"/>
      </w:tabs>
      <w:spacing w:after="0" w:line="259" w:lineRule="auto"/>
      <w:ind w:left="0" w:right="-33" w:firstLine="0"/>
    </w:pPr>
    <w:r>
      <w:rPr>
        <w:sz w:val="16"/>
      </w:rPr>
      <w:t xml:space="preserve">Guidelines for Subcommittees Rev4 Feb 2023.docx23 </w:t>
    </w:r>
    <w:r>
      <w:rPr>
        <w:sz w:val="16"/>
      </w:rPr>
      <w:tab/>
      <w:t xml:space="preserve"> </w:t>
    </w:r>
    <w:r>
      <w:rPr>
        <w:sz w:val="16"/>
      </w:rPr>
      <w:tab/>
      <w:t xml:space="preserve">13-Feb-23, 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3</w:t>
      </w:r>
    </w:fldSimple>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5CEA" w14:textId="1CE618DE" w:rsidR="00FE6FB1" w:rsidRDefault="00DB69EB">
    <w:pPr>
      <w:tabs>
        <w:tab w:val="center" w:pos="4321"/>
        <w:tab w:val="right" w:pos="9329"/>
      </w:tabs>
      <w:spacing w:after="0" w:line="259" w:lineRule="auto"/>
      <w:ind w:left="0" w:right="-33" w:firstLine="0"/>
    </w:pPr>
    <w:r>
      <w:rPr>
        <w:sz w:val="16"/>
      </w:rPr>
      <w:t>Guidelines for Subcommittees Rev</w:t>
    </w:r>
    <w:r w:rsidR="00F6211C">
      <w:rPr>
        <w:sz w:val="16"/>
      </w:rPr>
      <w:t>5</w:t>
    </w:r>
    <w:r>
      <w:rPr>
        <w:sz w:val="16"/>
      </w:rPr>
      <w:t xml:space="preserve"> </w:t>
    </w:r>
    <w:r w:rsidR="00F6211C">
      <w:rPr>
        <w:sz w:val="16"/>
      </w:rPr>
      <w:t>Sept</w:t>
    </w:r>
    <w:r>
      <w:rPr>
        <w:sz w:val="16"/>
      </w:rPr>
      <w:t xml:space="preserve"> 202</w:t>
    </w:r>
    <w:r w:rsidR="00F6211C">
      <w:rPr>
        <w:sz w:val="16"/>
      </w:rPr>
      <w:t>5</w:t>
    </w:r>
    <w:r>
      <w:rPr>
        <w:sz w:val="16"/>
      </w:rPr>
      <w:t xml:space="preserve"> </w:t>
    </w:r>
    <w:r>
      <w:rPr>
        <w:sz w:val="16"/>
      </w:rPr>
      <w:tab/>
      <w:t xml:space="preserve"> </w:t>
    </w:r>
    <w:r w:rsidR="00F6211C">
      <w:rPr>
        <w:sz w:val="16"/>
      </w:rPr>
      <w:tab/>
    </w:r>
    <w:r>
      <w:rPr>
        <w:sz w:val="16"/>
      </w:rPr>
      <w:t xml:space="preserve"> 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3</w:t>
      </w:r>
    </w:fldSimple>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10D4" w14:textId="77777777" w:rsidR="00FE6FB1" w:rsidRDefault="00DB69EB">
    <w:pPr>
      <w:tabs>
        <w:tab w:val="center" w:pos="4321"/>
        <w:tab w:val="right" w:pos="9329"/>
      </w:tabs>
      <w:spacing w:after="0" w:line="259" w:lineRule="auto"/>
      <w:ind w:left="0" w:right="-33" w:firstLine="0"/>
    </w:pPr>
    <w:r>
      <w:rPr>
        <w:sz w:val="16"/>
      </w:rPr>
      <w:t xml:space="preserve">Guidelines for Subcommittees Rev4 Feb 2023.docx23 </w:t>
    </w:r>
    <w:r>
      <w:rPr>
        <w:sz w:val="16"/>
      </w:rPr>
      <w:tab/>
      <w:t xml:space="preserve"> </w:t>
    </w:r>
    <w:r>
      <w:rPr>
        <w:sz w:val="16"/>
      </w:rPr>
      <w:tab/>
      <w:t xml:space="preserve">13-Feb-23, 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3</w:t>
      </w:r>
    </w:fldSimple>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36487" w14:textId="77777777" w:rsidR="00DB69EB" w:rsidRDefault="00DB69EB">
      <w:pPr>
        <w:spacing w:after="0" w:line="240" w:lineRule="auto"/>
      </w:pPr>
      <w:r>
        <w:separator/>
      </w:r>
    </w:p>
  </w:footnote>
  <w:footnote w:type="continuationSeparator" w:id="0">
    <w:p w14:paraId="5EB443DF" w14:textId="77777777" w:rsidR="00DB69EB" w:rsidRDefault="00DB6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23B3"/>
    <w:multiLevelType w:val="hybridMultilevel"/>
    <w:tmpl w:val="A4140B8A"/>
    <w:lvl w:ilvl="0" w:tplc="04090001">
      <w:start w:val="1"/>
      <w:numFmt w:val="bullet"/>
      <w:lvlText w:val=""/>
      <w:lvlJc w:val="left"/>
      <w:pPr>
        <w:ind w:left="1876" w:hanging="360"/>
      </w:pPr>
      <w:rPr>
        <w:rFonts w:ascii="Symbol" w:hAnsi="Symbol" w:hint="default"/>
      </w:rPr>
    </w:lvl>
    <w:lvl w:ilvl="1" w:tplc="04090003" w:tentative="1">
      <w:start w:val="1"/>
      <w:numFmt w:val="bullet"/>
      <w:lvlText w:val="o"/>
      <w:lvlJc w:val="left"/>
      <w:pPr>
        <w:ind w:left="2596" w:hanging="360"/>
      </w:pPr>
      <w:rPr>
        <w:rFonts w:ascii="Courier New" w:hAnsi="Courier New" w:cs="Courier New" w:hint="default"/>
      </w:rPr>
    </w:lvl>
    <w:lvl w:ilvl="2" w:tplc="04090005" w:tentative="1">
      <w:start w:val="1"/>
      <w:numFmt w:val="bullet"/>
      <w:lvlText w:val=""/>
      <w:lvlJc w:val="left"/>
      <w:pPr>
        <w:ind w:left="3316" w:hanging="360"/>
      </w:pPr>
      <w:rPr>
        <w:rFonts w:ascii="Wingdings" w:hAnsi="Wingdings" w:hint="default"/>
      </w:rPr>
    </w:lvl>
    <w:lvl w:ilvl="3" w:tplc="04090001" w:tentative="1">
      <w:start w:val="1"/>
      <w:numFmt w:val="bullet"/>
      <w:lvlText w:val=""/>
      <w:lvlJc w:val="left"/>
      <w:pPr>
        <w:ind w:left="4036" w:hanging="360"/>
      </w:pPr>
      <w:rPr>
        <w:rFonts w:ascii="Symbol" w:hAnsi="Symbol" w:hint="default"/>
      </w:rPr>
    </w:lvl>
    <w:lvl w:ilvl="4" w:tplc="04090003" w:tentative="1">
      <w:start w:val="1"/>
      <w:numFmt w:val="bullet"/>
      <w:lvlText w:val="o"/>
      <w:lvlJc w:val="left"/>
      <w:pPr>
        <w:ind w:left="4756" w:hanging="360"/>
      </w:pPr>
      <w:rPr>
        <w:rFonts w:ascii="Courier New" w:hAnsi="Courier New" w:cs="Courier New" w:hint="default"/>
      </w:rPr>
    </w:lvl>
    <w:lvl w:ilvl="5" w:tplc="04090005" w:tentative="1">
      <w:start w:val="1"/>
      <w:numFmt w:val="bullet"/>
      <w:lvlText w:val=""/>
      <w:lvlJc w:val="left"/>
      <w:pPr>
        <w:ind w:left="5476" w:hanging="360"/>
      </w:pPr>
      <w:rPr>
        <w:rFonts w:ascii="Wingdings" w:hAnsi="Wingdings" w:hint="default"/>
      </w:rPr>
    </w:lvl>
    <w:lvl w:ilvl="6" w:tplc="04090001" w:tentative="1">
      <w:start w:val="1"/>
      <w:numFmt w:val="bullet"/>
      <w:lvlText w:val=""/>
      <w:lvlJc w:val="left"/>
      <w:pPr>
        <w:ind w:left="6196" w:hanging="360"/>
      </w:pPr>
      <w:rPr>
        <w:rFonts w:ascii="Symbol" w:hAnsi="Symbol" w:hint="default"/>
      </w:rPr>
    </w:lvl>
    <w:lvl w:ilvl="7" w:tplc="04090003" w:tentative="1">
      <w:start w:val="1"/>
      <w:numFmt w:val="bullet"/>
      <w:lvlText w:val="o"/>
      <w:lvlJc w:val="left"/>
      <w:pPr>
        <w:ind w:left="6916" w:hanging="360"/>
      </w:pPr>
      <w:rPr>
        <w:rFonts w:ascii="Courier New" w:hAnsi="Courier New" w:cs="Courier New" w:hint="default"/>
      </w:rPr>
    </w:lvl>
    <w:lvl w:ilvl="8" w:tplc="04090005" w:tentative="1">
      <w:start w:val="1"/>
      <w:numFmt w:val="bullet"/>
      <w:lvlText w:val=""/>
      <w:lvlJc w:val="left"/>
      <w:pPr>
        <w:ind w:left="7636" w:hanging="360"/>
      </w:pPr>
      <w:rPr>
        <w:rFonts w:ascii="Wingdings" w:hAnsi="Wingdings" w:hint="default"/>
      </w:rPr>
    </w:lvl>
  </w:abstractNum>
  <w:abstractNum w:abstractNumId="1" w15:restartNumberingAfterBreak="0">
    <w:nsid w:val="3B5A3120"/>
    <w:multiLevelType w:val="hybridMultilevel"/>
    <w:tmpl w:val="962ED14A"/>
    <w:lvl w:ilvl="0" w:tplc="7B4CA2BA">
      <w:start w:val="1"/>
      <w:numFmt w:val="bullet"/>
      <w:lvlText w:val="o"/>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74802CC">
      <w:start w:val="1"/>
      <w:numFmt w:val="bullet"/>
      <w:lvlText w:val="o"/>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6240D1A">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3EC65B2">
      <w:start w:val="1"/>
      <w:numFmt w:val="bullet"/>
      <w:lvlText w:val="•"/>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8302166">
      <w:start w:val="1"/>
      <w:numFmt w:val="bullet"/>
      <w:lvlText w:val="o"/>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81A9DE6">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7989180">
      <w:start w:val="1"/>
      <w:numFmt w:val="bullet"/>
      <w:lvlText w:val="•"/>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26A07D8">
      <w:start w:val="1"/>
      <w:numFmt w:val="bullet"/>
      <w:lvlText w:val="o"/>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FA4F376">
      <w:start w:val="1"/>
      <w:numFmt w:val="bullet"/>
      <w:lvlText w:val="▪"/>
      <w:lvlJc w:val="left"/>
      <w:pPr>
        <w:ind w:left="6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F87143E"/>
    <w:multiLevelType w:val="hybridMultilevel"/>
    <w:tmpl w:val="75F498F6"/>
    <w:lvl w:ilvl="0" w:tplc="B3287B88">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2EB82A">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7D61A4E">
      <w:start w:val="1"/>
      <w:numFmt w:val="bullet"/>
      <w:lvlText w:val="▪"/>
      <w:lvlJc w:val="left"/>
      <w:pPr>
        <w:ind w:left="16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66A4F44">
      <w:start w:val="1"/>
      <w:numFmt w:val="bullet"/>
      <w:lvlText w:val="•"/>
      <w:lvlJc w:val="left"/>
      <w:pPr>
        <w:ind w:left="23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AF83C8C">
      <w:start w:val="1"/>
      <w:numFmt w:val="bullet"/>
      <w:lvlText w:val="o"/>
      <w:lvlJc w:val="left"/>
      <w:pPr>
        <w:ind w:left="30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7201E02">
      <w:start w:val="1"/>
      <w:numFmt w:val="bullet"/>
      <w:lvlText w:val="▪"/>
      <w:lvlJc w:val="left"/>
      <w:pPr>
        <w:ind w:left="38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87A64BA">
      <w:start w:val="1"/>
      <w:numFmt w:val="bullet"/>
      <w:lvlText w:val="•"/>
      <w:lvlJc w:val="left"/>
      <w:pPr>
        <w:ind w:left="45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7A266B2">
      <w:start w:val="1"/>
      <w:numFmt w:val="bullet"/>
      <w:lvlText w:val="o"/>
      <w:lvlJc w:val="left"/>
      <w:pPr>
        <w:ind w:left="52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D66C984">
      <w:start w:val="1"/>
      <w:numFmt w:val="bullet"/>
      <w:lvlText w:val="▪"/>
      <w:lvlJc w:val="left"/>
      <w:pPr>
        <w:ind w:left="59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4FA7B14"/>
    <w:multiLevelType w:val="hybridMultilevel"/>
    <w:tmpl w:val="EF10F9FA"/>
    <w:lvl w:ilvl="0" w:tplc="FFFFFFFF">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B4CA2BA">
      <w:start w:val="1"/>
      <w:numFmt w:val="bullet"/>
      <w:lvlText w:val="o"/>
      <w:lvlJc w:val="left"/>
      <w:pPr>
        <w:ind w:left="216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3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0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8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5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2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9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A9F6E98"/>
    <w:multiLevelType w:val="hybridMultilevel"/>
    <w:tmpl w:val="22684388"/>
    <w:lvl w:ilvl="0" w:tplc="402AF134">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30E0C0">
      <w:start w:val="1"/>
      <w:numFmt w:val="bullet"/>
      <w:lvlText w:val="o"/>
      <w:lvlJc w:val="left"/>
      <w:pPr>
        <w:ind w:left="16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1CA12A">
      <w:start w:val="1"/>
      <w:numFmt w:val="bullet"/>
      <w:lvlText w:val="▪"/>
      <w:lvlJc w:val="left"/>
      <w:pPr>
        <w:ind w:left="2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200C3E">
      <w:start w:val="1"/>
      <w:numFmt w:val="bullet"/>
      <w:lvlText w:val="•"/>
      <w:lvlJc w:val="left"/>
      <w:pPr>
        <w:ind w:left="3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A03DB2">
      <w:start w:val="1"/>
      <w:numFmt w:val="bullet"/>
      <w:lvlText w:val="o"/>
      <w:lvlJc w:val="left"/>
      <w:pPr>
        <w:ind w:left="3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FAF870">
      <w:start w:val="1"/>
      <w:numFmt w:val="bullet"/>
      <w:lvlText w:val="▪"/>
      <w:lvlJc w:val="left"/>
      <w:pPr>
        <w:ind w:left="4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5C800C">
      <w:start w:val="1"/>
      <w:numFmt w:val="bullet"/>
      <w:lvlText w:val="•"/>
      <w:lvlJc w:val="left"/>
      <w:pPr>
        <w:ind w:left="5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74EB88">
      <w:start w:val="1"/>
      <w:numFmt w:val="bullet"/>
      <w:lvlText w:val="o"/>
      <w:lvlJc w:val="left"/>
      <w:pPr>
        <w:ind w:left="60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1E73BA">
      <w:start w:val="1"/>
      <w:numFmt w:val="bullet"/>
      <w:lvlText w:val="▪"/>
      <w:lvlJc w:val="left"/>
      <w:pPr>
        <w:ind w:left="6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21312490">
    <w:abstractNumId w:val="4"/>
  </w:num>
  <w:num w:numId="2" w16cid:durableId="1550216937">
    <w:abstractNumId w:val="1"/>
  </w:num>
  <w:num w:numId="3" w16cid:durableId="2116436615">
    <w:abstractNumId w:val="2"/>
  </w:num>
  <w:num w:numId="4" w16cid:durableId="1865750599">
    <w:abstractNumId w:val="0"/>
  </w:num>
  <w:num w:numId="5" w16cid:durableId="397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FB1"/>
    <w:rsid w:val="00031C4F"/>
    <w:rsid w:val="000751F4"/>
    <w:rsid w:val="000F4DA7"/>
    <w:rsid w:val="00144D15"/>
    <w:rsid w:val="00203577"/>
    <w:rsid w:val="002C22F9"/>
    <w:rsid w:val="00322DAD"/>
    <w:rsid w:val="005C5255"/>
    <w:rsid w:val="007A29CF"/>
    <w:rsid w:val="00884461"/>
    <w:rsid w:val="008B4DB5"/>
    <w:rsid w:val="008D5977"/>
    <w:rsid w:val="00901982"/>
    <w:rsid w:val="00A6534F"/>
    <w:rsid w:val="00D02989"/>
    <w:rsid w:val="00DB69EB"/>
    <w:rsid w:val="00EF5BB0"/>
    <w:rsid w:val="00F6211C"/>
    <w:rsid w:val="00FA5588"/>
    <w:rsid w:val="00FB06B7"/>
    <w:rsid w:val="00FE6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1CBAB"/>
  <w15:docId w15:val="{9E8EBA70-0D37-4594-AA21-81CF2486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0" w:line="248" w:lineRule="auto"/>
      <w:ind w:left="1090" w:hanging="370"/>
    </w:pPr>
    <w:rPr>
      <w:rFonts w:ascii="Tahoma" w:eastAsia="Tahoma" w:hAnsi="Tahoma" w:cs="Tahoma"/>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DB5"/>
    <w:pPr>
      <w:ind w:left="720"/>
      <w:contextualSpacing/>
    </w:pPr>
  </w:style>
  <w:style w:type="paragraph" w:styleId="Header">
    <w:name w:val="header"/>
    <w:basedOn w:val="Normal"/>
    <w:link w:val="HeaderChar"/>
    <w:uiPriority w:val="99"/>
    <w:unhideWhenUsed/>
    <w:rsid w:val="00F62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11C"/>
    <w:rPr>
      <w:rFonts w:ascii="Tahoma" w:eastAsia="Tahoma" w:hAnsi="Tahoma" w:cs="Tahom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Ethylene Producers’ Committee</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Ethylene Producers’ Committee</dc:title>
  <dc:subject/>
  <dc:creator>Walter Postula</dc:creator>
  <cp:keywords/>
  <cp:lastModifiedBy>Smith, Micheal E</cp:lastModifiedBy>
  <cp:revision>3</cp:revision>
  <dcterms:created xsi:type="dcterms:W3CDTF">2025-10-27T17:58:00Z</dcterms:created>
  <dcterms:modified xsi:type="dcterms:W3CDTF">2025-10-27T18:00:00Z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2084917654</vt:i4>
  </property>
  <property fmtid="{D5CDD505-2E9C-101B-9397-08002B2CF9AE}" pid="3" name="_NewReviewCycle">
    <vt:lpwstr/>
  </property>
  <property fmtid="{D5CDD505-2E9C-101B-9397-08002B2CF9AE}" pid="4" name="_EmailSubject">
    <vt:lpwstr>Updated Guidelines for Subcommittees (rev 5 to replace rev 4) on website</vt:lpwstr>
  </property>
  <property fmtid="{D5CDD505-2E9C-101B-9397-08002B2CF9AE}" pid="5" name="_AuthorEmail">
    <vt:lpwstr>micheal.e.smith@exxonmobil.com</vt:lpwstr>
  </property>
  <property fmtid="{D5CDD505-2E9C-101B-9397-08002B2CF9AE}" pid="6" name="_AuthorEmailDisplayName">
    <vt:lpwstr>Smith, Micheal E</vt:lpwstr>
  </property>
</Properties>
</file>