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D9D9D9"/>
        <w:tblLook w:val="01E0" w:firstRow="1" w:lastRow="1" w:firstColumn="1" w:lastColumn="1" w:noHBand="0" w:noVBand="0"/>
      </w:tblPr>
      <w:tblGrid>
        <w:gridCol w:w="9576"/>
      </w:tblGrid>
      <w:tr w:rsidR="00347135" w:rsidRPr="004A4379" w14:paraId="4FC766D2" w14:textId="77777777" w:rsidTr="009E57AA">
        <w:tc>
          <w:tcPr>
            <w:tcW w:w="9576" w:type="dxa"/>
            <w:shd w:val="clear" w:color="auto" w:fill="D9D9D9"/>
          </w:tcPr>
          <w:p w14:paraId="4FC766D1" w14:textId="77777777" w:rsidR="00347135" w:rsidRPr="00327357" w:rsidRDefault="00347135" w:rsidP="009E57AA">
            <w:pPr>
              <w:pStyle w:val="Heading1"/>
            </w:pPr>
            <w:bookmarkStart w:id="0" w:name="_Toc288827270"/>
            <w:bookmarkStart w:id="1" w:name="_GoBack"/>
            <w:bookmarkEnd w:id="1"/>
            <w:r w:rsidRPr="00327357">
              <w:t xml:space="preserve">SCO </w:t>
            </w:r>
            <w:r>
              <w:t>Selection</w:t>
            </w:r>
            <w:r w:rsidRPr="00327357">
              <w:t xml:space="preserve"> Tool</w:t>
            </w:r>
            <w:bookmarkEnd w:id="0"/>
          </w:p>
        </w:tc>
      </w:tr>
    </w:tbl>
    <w:p w14:paraId="4FC766D3" w14:textId="77777777" w:rsidR="00347135" w:rsidRDefault="00347135" w:rsidP="00347135"/>
    <w:p w14:paraId="4FC766D4" w14:textId="77777777" w:rsidR="00347135" w:rsidRPr="00327357" w:rsidRDefault="00347135" w:rsidP="00347135">
      <w:r w:rsidRPr="00327357">
        <w:t>Refer to the SCO Selection Tool guidance document for details on how to perform these steps.</w:t>
      </w:r>
    </w:p>
    <w:p w14:paraId="4FC766D5" w14:textId="77777777" w:rsidR="00347135" w:rsidRPr="00327357" w:rsidRDefault="00347135" w:rsidP="00347135"/>
    <w:p w14:paraId="4FC766D6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>List processes that have been designated as high risk based on use of the process risk screening tool, Appendix A.</w:t>
      </w:r>
    </w:p>
    <w:p w14:paraId="4FC766D7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 xml:space="preserve">Select a </w:t>
      </w:r>
      <w:r>
        <w:t>W</w:t>
      </w:r>
      <w:r w:rsidRPr="00327357">
        <w:t xml:space="preserve">orst </w:t>
      </w:r>
      <w:r>
        <w:t>Case</w:t>
      </w:r>
      <w:r w:rsidRPr="00327357">
        <w:t xml:space="preserve"> </w:t>
      </w:r>
      <w:r>
        <w:t>A</w:t>
      </w:r>
      <w:r w:rsidRPr="00327357">
        <w:t xml:space="preserve">ccident </w:t>
      </w:r>
      <w:r>
        <w:t>S</w:t>
      </w:r>
      <w:r w:rsidRPr="00327357">
        <w:t>cenario (WCAS) for each of the high risk processes.</w:t>
      </w:r>
    </w:p>
    <w:p w14:paraId="4FC766D8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 xml:space="preserve">Select the appropriate consequence category (C – Catastrophic, S – Severe, M – Minor) for the WCAS based on the </w:t>
      </w:r>
      <w:r w:rsidRPr="00327357">
        <w:rPr>
          <w:b/>
        </w:rPr>
        <w:t>SCO Consequence Categories Table.</w:t>
      </w:r>
    </w:p>
    <w:p w14:paraId="4FC766D9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 xml:space="preserve">Use the </w:t>
      </w:r>
      <w:r w:rsidRPr="00327357">
        <w:rPr>
          <w:b/>
        </w:rPr>
        <w:t>Frequency Characteristics</w:t>
      </w:r>
      <w:r w:rsidRPr="00327357">
        <w:t xml:space="preserve"> </w:t>
      </w:r>
      <w:r>
        <w:rPr>
          <w:b/>
        </w:rPr>
        <w:t>T</w:t>
      </w:r>
      <w:r w:rsidRPr="009C25BB">
        <w:rPr>
          <w:b/>
        </w:rPr>
        <w:t>ool</w:t>
      </w:r>
      <w:r w:rsidRPr="00327357">
        <w:t xml:space="preserve"> to develop a frequency score (11 – 55).</w:t>
      </w:r>
    </w:p>
    <w:p w14:paraId="4FC766DA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>Select the frequency category for the WCAS (F – Frequent, I – Infrequent, or R – Rare)</w:t>
      </w:r>
    </w:p>
    <w:p w14:paraId="4FC766DB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 xml:space="preserve">Label the appropriate frequency and consequence category for the operation on the </w:t>
      </w:r>
      <w:r w:rsidRPr="00327357">
        <w:rPr>
          <w:b/>
        </w:rPr>
        <w:t>Risk Matrix for Determining an SCO.</w:t>
      </w:r>
    </w:p>
    <w:p w14:paraId="4FC766DC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>The process will be designated an SCO if the process maps to Cell 1,</w:t>
      </w:r>
      <w:r>
        <w:t xml:space="preserve"> </w:t>
      </w:r>
      <w:r w:rsidRPr="00327357">
        <w:t xml:space="preserve">2, or 3 in the </w:t>
      </w:r>
      <w:r>
        <w:t>risk matrix.</w:t>
      </w:r>
    </w:p>
    <w:p w14:paraId="4FC766DD" w14:textId="77777777" w:rsidR="00347135" w:rsidRPr="00327357" w:rsidRDefault="00347135" w:rsidP="00347135">
      <w:pPr>
        <w:numPr>
          <w:ilvl w:val="0"/>
          <w:numId w:val="1"/>
        </w:numPr>
      </w:pPr>
      <w:r w:rsidRPr="00327357">
        <w:t xml:space="preserve">Document the determination using the </w:t>
      </w:r>
      <w:r w:rsidRPr="00327357">
        <w:rPr>
          <w:b/>
        </w:rPr>
        <w:t xml:space="preserve">SCO Documentation Form </w:t>
      </w:r>
      <w:r w:rsidRPr="009C25BB">
        <w:t>below.</w:t>
      </w:r>
    </w:p>
    <w:p w14:paraId="4FC766DE" w14:textId="77777777" w:rsidR="00347135" w:rsidRPr="00327357" w:rsidRDefault="00347135" w:rsidP="00347135"/>
    <w:p w14:paraId="4FC766DF" w14:textId="77777777" w:rsidR="00347135" w:rsidRPr="00327357" w:rsidRDefault="00347135" w:rsidP="00347135">
      <w:pPr>
        <w:jc w:val="center"/>
        <w:rPr>
          <w:b/>
        </w:rPr>
      </w:pPr>
      <w:r w:rsidRPr="00327357">
        <w:rPr>
          <w:b/>
        </w:rPr>
        <w:t xml:space="preserve">SCO </w:t>
      </w:r>
      <w:r>
        <w:rPr>
          <w:b/>
        </w:rPr>
        <w:t xml:space="preserve">Selection </w:t>
      </w:r>
      <w:r w:rsidRPr="00327357">
        <w:rPr>
          <w:b/>
        </w:rPr>
        <w:t>Documentation Form</w:t>
      </w:r>
    </w:p>
    <w:p w14:paraId="4FC766E0" w14:textId="77777777" w:rsidR="00347135" w:rsidRPr="00327357" w:rsidRDefault="00347135" w:rsidP="00347135">
      <w:pPr>
        <w:jc w:val="center"/>
        <w:rPr>
          <w:b/>
        </w:rPr>
      </w:pPr>
    </w:p>
    <w:p w14:paraId="4FC766E1" w14:textId="77777777" w:rsidR="00347135" w:rsidRPr="00327357" w:rsidRDefault="00347135" w:rsidP="00347135">
      <w:r w:rsidRPr="00327357">
        <w:t>Process Name: __________________________________</w:t>
      </w:r>
      <w:r w:rsidRPr="00327357">
        <w:rPr>
          <w:b/>
        </w:rPr>
        <w:tab/>
      </w:r>
      <w:r w:rsidRPr="00327357">
        <w:t>Bldg</w:t>
      </w:r>
      <w:proofErr w:type="gramStart"/>
      <w:r w:rsidRPr="00327357">
        <w:t>./</w:t>
      </w:r>
      <w:proofErr w:type="gramEnd"/>
      <w:r w:rsidRPr="00327357">
        <w:t>Area:</w:t>
      </w:r>
      <w:r w:rsidRPr="00327357">
        <w:rPr>
          <w:b/>
        </w:rPr>
        <w:t xml:space="preserve"> </w:t>
      </w:r>
      <w:r w:rsidRPr="00327357">
        <w:t>____________________</w:t>
      </w:r>
    </w:p>
    <w:p w14:paraId="4FC766E2" w14:textId="77777777" w:rsidR="00347135" w:rsidRPr="00327357" w:rsidRDefault="00347135" w:rsidP="00347135">
      <w:pPr>
        <w:rPr>
          <w:b/>
        </w:rPr>
      </w:pPr>
    </w:p>
    <w:p w14:paraId="4FC766E3" w14:textId="77777777" w:rsidR="00347135" w:rsidRPr="00327357" w:rsidRDefault="00347135" w:rsidP="00347135">
      <w:pPr>
        <w:rPr>
          <w:b/>
        </w:rPr>
      </w:pPr>
      <w:r w:rsidRPr="00327357">
        <w:t>Business Area: __________________________________</w:t>
      </w:r>
      <w:r w:rsidRPr="00327357">
        <w:tab/>
        <w:t>Review Date: __________________</w:t>
      </w:r>
    </w:p>
    <w:p w14:paraId="4FC766E4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E5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Process Description:  ________________________________________</w:t>
      </w:r>
      <w:r>
        <w:t>____________________</w:t>
      </w:r>
    </w:p>
    <w:p w14:paraId="4FC766E6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E7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Drawings Used: ________________________________________________________________</w:t>
      </w:r>
    </w:p>
    <w:p w14:paraId="4FC766E8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E9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______________________________________________________________________________</w:t>
      </w:r>
    </w:p>
    <w:p w14:paraId="4FC766EA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EB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Attendees:  ____________________________________________________________________</w:t>
      </w:r>
    </w:p>
    <w:p w14:paraId="4FC766EC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ED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______________________________________________________________________________</w:t>
      </w:r>
    </w:p>
    <w:p w14:paraId="4FC766EE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EF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______________________________________________________________________________</w:t>
      </w:r>
    </w:p>
    <w:p w14:paraId="4FC766F0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F1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Describe the Worst Case Accident Scenario:  ___________________________</w:t>
      </w:r>
      <w:r>
        <w:t>______________</w:t>
      </w:r>
    </w:p>
    <w:p w14:paraId="4FC766F2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F3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_____________________________________________________________________________</w:t>
      </w:r>
    </w:p>
    <w:p w14:paraId="4FC766F4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F5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_____________________________________________________________________________</w:t>
      </w:r>
    </w:p>
    <w:p w14:paraId="4FC766F6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F7" w14:textId="77777777" w:rsidR="00347135" w:rsidRPr="00327357" w:rsidRDefault="00347135" w:rsidP="00347135">
      <w:pPr>
        <w:pBdr>
          <w:bottom w:val="single" w:sz="12" w:space="0" w:color="auto"/>
        </w:pBdr>
      </w:pPr>
      <w:r w:rsidRPr="00327357">
        <w:t>_____________________________________________________________________________</w:t>
      </w:r>
    </w:p>
    <w:p w14:paraId="4FC766F8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F9" w14:textId="77777777" w:rsidR="00347135" w:rsidRPr="00327357" w:rsidRDefault="00347135" w:rsidP="00347135">
      <w:pPr>
        <w:pBdr>
          <w:bottom w:val="single" w:sz="12" w:space="0" w:color="auto"/>
        </w:pBdr>
      </w:pPr>
    </w:p>
    <w:p w14:paraId="4FC766FA" w14:textId="77777777" w:rsidR="00347135" w:rsidRDefault="00347135" w:rsidP="00347135">
      <w:pPr>
        <w:rPr>
          <w:b/>
          <w:bCs/>
        </w:rPr>
      </w:pPr>
      <w:r>
        <w:br w:type="page"/>
      </w:r>
    </w:p>
    <w:p w14:paraId="4FC766FB" w14:textId="77777777" w:rsidR="00347135" w:rsidRPr="00327357" w:rsidRDefault="00347135" w:rsidP="00347135">
      <w:pPr>
        <w:pStyle w:val="Heading4"/>
        <w:tabs>
          <w:tab w:val="left" w:pos="-90"/>
        </w:tabs>
        <w:jc w:val="center"/>
        <w:rPr>
          <w:sz w:val="24"/>
          <w:szCs w:val="24"/>
        </w:rPr>
      </w:pPr>
      <w:r w:rsidRPr="00327357">
        <w:rPr>
          <w:sz w:val="24"/>
          <w:szCs w:val="24"/>
        </w:rPr>
        <w:lastRenderedPageBreak/>
        <w:t>SCO Consequence Categories Table</w:t>
      </w:r>
    </w:p>
    <w:p w14:paraId="4FC766FC" w14:textId="77777777" w:rsidR="00347135" w:rsidRPr="00327357" w:rsidRDefault="00347135" w:rsidP="0034713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6120"/>
        <w:gridCol w:w="1530"/>
      </w:tblGrid>
      <w:tr w:rsidR="00347135" w:rsidRPr="00327357" w14:paraId="4FC76700" w14:textId="77777777" w:rsidTr="009E57AA">
        <w:tc>
          <w:tcPr>
            <w:tcW w:w="1728" w:type="dxa"/>
            <w:tcBorders>
              <w:bottom w:val="nil"/>
            </w:tcBorders>
            <w:shd w:val="pct12" w:color="auto" w:fill="auto"/>
            <w:vAlign w:val="center"/>
          </w:tcPr>
          <w:p w14:paraId="4FC766FD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Category</w:t>
            </w:r>
          </w:p>
        </w:tc>
        <w:tc>
          <w:tcPr>
            <w:tcW w:w="6120" w:type="dxa"/>
            <w:shd w:val="pct12" w:color="auto" w:fill="auto"/>
            <w:vAlign w:val="center"/>
          </w:tcPr>
          <w:p w14:paraId="4FC766FE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Category Description</w:t>
            </w:r>
          </w:p>
        </w:tc>
        <w:tc>
          <w:tcPr>
            <w:tcW w:w="1530" w:type="dxa"/>
            <w:shd w:val="pct12" w:color="auto" w:fill="auto"/>
            <w:vAlign w:val="center"/>
          </w:tcPr>
          <w:p w14:paraId="4FC766FF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Selection</w:t>
            </w:r>
          </w:p>
        </w:tc>
      </w:tr>
      <w:tr w:rsidR="00347135" w:rsidRPr="00327357" w14:paraId="4FC76705" w14:textId="77777777" w:rsidTr="009E57AA">
        <w:trPr>
          <w:cantSplit/>
        </w:trPr>
        <w:tc>
          <w:tcPr>
            <w:tcW w:w="1728" w:type="dxa"/>
            <w:vMerge w:val="restart"/>
            <w:vAlign w:val="center"/>
          </w:tcPr>
          <w:p w14:paraId="4FC76701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Catastrophic</w:t>
            </w:r>
          </w:p>
          <w:p w14:paraId="4FC76702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(C)</w:t>
            </w:r>
          </w:p>
        </w:tc>
        <w:tc>
          <w:tcPr>
            <w:tcW w:w="6120" w:type="dxa"/>
            <w:tcBorders>
              <w:left w:val="nil"/>
            </w:tcBorders>
          </w:tcPr>
          <w:p w14:paraId="4FC76703" w14:textId="77777777" w:rsidR="00347135" w:rsidRPr="00733CDF" w:rsidRDefault="00347135" w:rsidP="009E57AA">
            <w:pPr>
              <w:pStyle w:val="Style0"/>
              <w:tabs>
                <w:tab w:val="left" w:pos="612"/>
              </w:tabs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C1 -</w:t>
            </w:r>
            <w:r w:rsidRPr="00733CDF">
              <w:rPr>
                <w:rFonts w:ascii="Times New Roman" w:hAnsi="Times New Roman"/>
                <w:szCs w:val="24"/>
              </w:rPr>
              <w:tab/>
              <w:t>Loss of life (&gt;1 fatality, onsite)</w:t>
            </w:r>
          </w:p>
        </w:tc>
        <w:tc>
          <w:tcPr>
            <w:tcW w:w="1530" w:type="dxa"/>
          </w:tcPr>
          <w:p w14:paraId="4FC76704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09" w14:textId="77777777" w:rsidTr="009E57AA">
        <w:trPr>
          <w:cantSplit/>
        </w:trPr>
        <w:tc>
          <w:tcPr>
            <w:tcW w:w="1728" w:type="dxa"/>
            <w:vMerge/>
          </w:tcPr>
          <w:p w14:paraId="4FC76706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07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C2 -</w:t>
            </w:r>
            <w:r w:rsidRPr="00733CDF">
              <w:rPr>
                <w:rFonts w:ascii="Times New Roman" w:hAnsi="Times New Roman"/>
                <w:szCs w:val="24"/>
              </w:rPr>
              <w:tab/>
              <w:t xml:space="preserve">Loss of life (1 or more fatalities, offsite) or more than one serious injury (offsite) </w:t>
            </w:r>
          </w:p>
        </w:tc>
        <w:tc>
          <w:tcPr>
            <w:tcW w:w="1530" w:type="dxa"/>
          </w:tcPr>
          <w:p w14:paraId="4FC76708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0D" w14:textId="77777777" w:rsidTr="009E57AA">
        <w:trPr>
          <w:cantSplit/>
        </w:trPr>
        <w:tc>
          <w:tcPr>
            <w:tcW w:w="1728" w:type="dxa"/>
            <w:vMerge/>
          </w:tcPr>
          <w:p w14:paraId="4FC7670A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0B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C3 -</w:t>
            </w:r>
            <w:r w:rsidRPr="00733CDF">
              <w:rPr>
                <w:rFonts w:ascii="Times New Roman" w:hAnsi="Times New Roman"/>
                <w:szCs w:val="24"/>
              </w:rPr>
              <w:tab/>
              <w:t>Permanent or long-term environmental impact</w:t>
            </w:r>
          </w:p>
        </w:tc>
        <w:tc>
          <w:tcPr>
            <w:tcW w:w="1530" w:type="dxa"/>
          </w:tcPr>
          <w:p w14:paraId="4FC7670C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11" w14:textId="77777777" w:rsidTr="009E57AA">
        <w:trPr>
          <w:cantSplit/>
        </w:trPr>
        <w:tc>
          <w:tcPr>
            <w:tcW w:w="1728" w:type="dxa"/>
            <w:vMerge/>
          </w:tcPr>
          <w:p w14:paraId="4FC7670E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0F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C4 -</w:t>
            </w:r>
            <w:r w:rsidRPr="00733CDF">
              <w:rPr>
                <w:rFonts w:ascii="Times New Roman" w:hAnsi="Times New Roman"/>
                <w:szCs w:val="24"/>
              </w:rPr>
              <w:tab/>
              <w:t>Production downtime for more than 1 month</w:t>
            </w:r>
          </w:p>
        </w:tc>
        <w:tc>
          <w:tcPr>
            <w:tcW w:w="1530" w:type="dxa"/>
          </w:tcPr>
          <w:p w14:paraId="4FC76710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15" w14:textId="77777777" w:rsidTr="009E57AA">
        <w:trPr>
          <w:cantSplit/>
        </w:trPr>
        <w:tc>
          <w:tcPr>
            <w:tcW w:w="1728" w:type="dxa"/>
            <w:vMerge/>
            <w:tcBorders>
              <w:bottom w:val="nil"/>
            </w:tcBorders>
          </w:tcPr>
          <w:p w14:paraId="4FC76712" w14:textId="77777777" w:rsidR="00347135" w:rsidRPr="00327357" w:rsidRDefault="00347135" w:rsidP="009E57AA">
            <w:pPr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13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C5 -</w:t>
            </w:r>
            <w:r w:rsidRPr="00733CDF">
              <w:rPr>
                <w:rFonts w:ascii="Times New Roman" w:hAnsi="Times New Roman"/>
                <w:szCs w:val="24"/>
              </w:rPr>
              <w:tab/>
              <w:t xml:space="preserve">Total loss of production facility or property damage in excess of  $2.0 million </w:t>
            </w:r>
            <w:smartTag w:uri="urn:schemas-microsoft-com:office:smarttags" w:element="country-region">
              <w:smartTag w:uri="urn:schemas-microsoft-com:office:smarttags" w:element="place">
                <w:r w:rsidRPr="00733CDF">
                  <w:rPr>
                    <w:rFonts w:ascii="Times New Roman" w:hAnsi="Times New Roman"/>
                    <w:szCs w:val="24"/>
                  </w:rPr>
                  <w:t>U.S.</w:t>
                </w:r>
              </w:smartTag>
            </w:smartTag>
          </w:p>
        </w:tc>
        <w:tc>
          <w:tcPr>
            <w:tcW w:w="1530" w:type="dxa"/>
          </w:tcPr>
          <w:p w14:paraId="4FC76714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1A" w14:textId="77777777" w:rsidTr="009E57AA">
        <w:trPr>
          <w:cantSplit/>
        </w:trPr>
        <w:tc>
          <w:tcPr>
            <w:tcW w:w="1728" w:type="dxa"/>
            <w:vMerge w:val="restart"/>
            <w:vAlign w:val="center"/>
          </w:tcPr>
          <w:p w14:paraId="4FC76716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Severe</w:t>
            </w:r>
          </w:p>
          <w:p w14:paraId="4FC76717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(S)</w:t>
            </w:r>
          </w:p>
        </w:tc>
        <w:tc>
          <w:tcPr>
            <w:tcW w:w="6120" w:type="dxa"/>
          </w:tcPr>
          <w:p w14:paraId="4FC76718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S1 -</w:t>
            </w:r>
            <w:r w:rsidRPr="00733CDF">
              <w:rPr>
                <w:rFonts w:ascii="Times New Roman" w:hAnsi="Times New Roman"/>
                <w:szCs w:val="24"/>
              </w:rPr>
              <w:tab/>
              <w:t>High potential for loss of life (single fatality, onsite) OR serious injury to six or more persons (onsite)</w:t>
            </w:r>
          </w:p>
        </w:tc>
        <w:tc>
          <w:tcPr>
            <w:tcW w:w="1530" w:type="dxa"/>
          </w:tcPr>
          <w:p w14:paraId="4FC76719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1E" w14:textId="77777777" w:rsidTr="009E57AA">
        <w:trPr>
          <w:cantSplit/>
        </w:trPr>
        <w:tc>
          <w:tcPr>
            <w:tcW w:w="1728" w:type="dxa"/>
            <w:vMerge/>
            <w:vAlign w:val="center"/>
          </w:tcPr>
          <w:p w14:paraId="4FC7671B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</w:tcPr>
          <w:p w14:paraId="4FC7671C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S2 -</w:t>
            </w:r>
            <w:r w:rsidRPr="00733CDF">
              <w:rPr>
                <w:rFonts w:ascii="Times New Roman" w:hAnsi="Times New Roman"/>
                <w:szCs w:val="24"/>
              </w:rPr>
              <w:tab/>
              <w:t>A single serious injury (offsite) or more than one minor injuries (offsite)</w:t>
            </w:r>
          </w:p>
        </w:tc>
        <w:tc>
          <w:tcPr>
            <w:tcW w:w="1530" w:type="dxa"/>
          </w:tcPr>
          <w:p w14:paraId="4FC7671D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22" w14:textId="77777777" w:rsidTr="009E57AA">
        <w:trPr>
          <w:cantSplit/>
        </w:trPr>
        <w:tc>
          <w:tcPr>
            <w:tcW w:w="1728" w:type="dxa"/>
            <w:vMerge/>
            <w:vAlign w:val="center"/>
          </w:tcPr>
          <w:p w14:paraId="4FC7671F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</w:tcPr>
          <w:p w14:paraId="4FC76720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S3 -</w:t>
            </w:r>
            <w:r w:rsidRPr="00733CDF">
              <w:rPr>
                <w:rFonts w:ascii="Times New Roman" w:hAnsi="Times New Roman"/>
                <w:szCs w:val="24"/>
              </w:rPr>
              <w:tab/>
              <w:t>Some environmental impact but not permanent or long-term</w:t>
            </w:r>
          </w:p>
        </w:tc>
        <w:tc>
          <w:tcPr>
            <w:tcW w:w="1530" w:type="dxa"/>
          </w:tcPr>
          <w:p w14:paraId="4FC76721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26" w14:textId="77777777" w:rsidTr="009E57AA">
        <w:trPr>
          <w:cantSplit/>
        </w:trPr>
        <w:tc>
          <w:tcPr>
            <w:tcW w:w="1728" w:type="dxa"/>
            <w:vMerge/>
            <w:vAlign w:val="center"/>
          </w:tcPr>
          <w:p w14:paraId="4FC76723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</w:tcPr>
          <w:p w14:paraId="4FC76724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S4 -</w:t>
            </w:r>
            <w:r w:rsidRPr="00733CDF">
              <w:rPr>
                <w:rFonts w:ascii="Times New Roman" w:hAnsi="Times New Roman"/>
                <w:szCs w:val="24"/>
              </w:rPr>
              <w:tab/>
              <w:t>Production downtime from 1 week to 1 month</w:t>
            </w:r>
          </w:p>
        </w:tc>
        <w:tc>
          <w:tcPr>
            <w:tcW w:w="1530" w:type="dxa"/>
          </w:tcPr>
          <w:p w14:paraId="4FC76725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2A" w14:textId="77777777" w:rsidTr="009E57AA">
        <w:trPr>
          <w:cantSplit/>
        </w:trPr>
        <w:tc>
          <w:tcPr>
            <w:tcW w:w="1728" w:type="dxa"/>
            <w:vMerge/>
            <w:tcBorders>
              <w:bottom w:val="nil"/>
            </w:tcBorders>
            <w:vAlign w:val="center"/>
          </w:tcPr>
          <w:p w14:paraId="4FC76727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</w:tcPr>
          <w:p w14:paraId="4FC76728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</w:rPr>
            </w:pPr>
            <w:r w:rsidRPr="00733CDF">
              <w:rPr>
                <w:rFonts w:ascii="Times New Roman" w:hAnsi="Times New Roman"/>
                <w:szCs w:val="24"/>
              </w:rPr>
              <w:t>S5 -</w:t>
            </w:r>
            <w:r w:rsidRPr="00733CDF">
              <w:rPr>
                <w:rFonts w:ascii="Times New Roman" w:hAnsi="Times New Roman"/>
                <w:szCs w:val="24"/>
              </w:rPr>
              <w:tab/>
              <w:t xml:space="preserve">Widespread damage to production facility or property damage from $100,000 to $2.0 million </w:t>
            </w:r>
            <w:smartTag w:uri="urn:schemas-microsoft-com:office:smarttags" w:element="country-region">
              <w:smartTag w:uri="urn:schemas-microsoft-com:office:smarttags" w:element="place">
                <w:r w:rsidRPr="00733CDF">
                  <w:rPr>
                    <w:rFonts w:ascii="Times New Roman" w:hAnsi="Times New Roman"/>
                    <w:szCs w:val="24"/>
                  </w:rPr>
                  <w:t>U.S.</w:t>
                </w:r>
              </w:smartTag>
            </w:smartTag>
          </w:p>
        </w:tc>
        <w:tc>
          <w:tcPr>
            <w:tcW w:w="1530" w:type="dxa"/>
          </w:tcPr>
          <w:p w14:paraId="4FC76729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2F" w14:textId="77777777" w:rsidTr="009E57AA">
        <w:trPr>
          <w:cantSplit/>
        </w:trPr>
        <w:tc>
          <w:tcPr>
            <w:tcW w:w="1728" w:type="dxa"/>
            <w:vMerge w:val="restart"/>
            <w:vAlign w:val="center"/>
          </w:tcPr>
          <w:p w14:paraId="4FC7672B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Minor</w:t>
            </w:r>
          </w:p>
          <w:p w14:paraId="4FC7672C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(M)</w:t>
            </w:r>
          </w:p>
        </w:tc>
        <w:tc>
          <w:tcPr>
            <w:tcW w:w="6120" w:type="dxa"/>
            <w:tcBorders>
              <w:left w:val="nil"/>
            </w:tcBorders>
          </w:tcPr>
          <w:p w14:paraId="4FC7672D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</w:rPr>
            </w:pPr>
            <w:r w:rsidRPr="00733CDF">
              <w:rPr>
                <w:rFonts w:ascii="Times New Roman" w:hAnsi="Times New Roman"/>
              </w:rPr>
              <w:t xml:space="preserve">M1 </w:t>
            </w:r>
            <w:r w:rsidRPr="00733CDF">
              <w:rPr>
                <w:rFonts w:ascii="Times New Roman" w:hAnsi="Times New Roman"/>
                <w:szCs w:val="24"/>
              </w:rPr>
              <w:t>-</w:t>
            </w:r>
            <w:r w:rsidRPr="00733CDF">
              <w:rPr>
                <w:rFonts w:ascii="Times New Roman" w:hAnsi="Times New Roman"/>
                <w:szCs w:val="24"/>
              </w:rPr>
              <w:tab/>
            </w:r>
            <w:r w:rsidRPr="00733CDF">
              <w:rPr>
                <w:rFonts w:ascii="Times New Roman" w:hAnsi="Times New Roman"/>
              </w:rPr>
              <w:t>No fatalities anticipated. Potential injuries to personnel (onsite)</w:t>
            </w:r>
          </w:p>
        </w:tc>
        <w:tc>
          <w:tcPr>
            <w:tcW w:w="1530" w:type="dxa"/>
          </w:tcPr>
          <w:p w14:paraId="4FC7672E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33" w14:textId="77777777" w:rsidTr="009E57AA">
        <w:trPr>
          <w:cantSplit/>
        </w:trPr>
        <w:tc>
          <w:tcPr>
            <w:tcW w:w="1728" w:type="dxa"/>
            <w:vMerge/>
          </w:tcPr>
          <w:p w14:paraId="4FC76730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31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</w:rPr>
            </w:pPr>
            <w:r w:rsidRPr="00733CDF">
              <w:rPr>
                <w:rFonts w:ascii="Times New Roman" w:hAnsi="Times New Roman"/>
              </w:rPr>
              <w:t xml:space="preserve">M2 </w:t>
            </w:r>
            <w:r w:rsidRPr="00733CDF">
              <w:rPr>
                <w:rFonts w:ascii="Times New Roman" w:hAnsi="Times New Roman"/>
                <w:szCs w:val="24"/>
              </w:rPr>
              <w:t>-</w:t>
            </w:r>
            <w:r w:rsidRPr="00733CDF">
              <w:rPr>
                <w:rFonts w:ascii="Times New Roman" w:hAnsi="Times New Roman"/>
                <w:szCs w:val="24"/>
              </w:rPr>
              <w:tab/>
            </w:r>
            <w:r w:rsidRPr="00733CDF">
              <w:rPr>
                <w:rFonts w:ascii="Times New Roman" w:hAnsi="Times New Roman"/>
              </w:rPr>
              <w:t xml:space="preserve">A </w:t>
            </w:r>
            <w:r w:rsidRPr="00733CDF">
              <w:rPr>
                <w:rFonts w:ascii="Times New Roman" w:hAnsi="Times New Roman"/>
                <w:szCs w:val="24"/>
              </w:rPr>
              <w:t>single</w:t>
            </w:r>
            <w:r w:rsidRPr="00733CDF">
              <w:rPr>
                <w:rFonts w:ascii="Times New Roman" w:hAnsi="Times New Roman"/>
              </w:rPr>
              <w:t xml:space="preserve"> minor injury (offsite)</w:t>
            </w:r>
          </w:p>
        </w:tc>
        <w:tc>
          <w:tcPr>
            <w:tcW w:w="1530" w:type="dxa"/>
          </w:tcPr>
          <w:p w14:paraId="4FC76732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1B7594" w14:paraId="4FC76737" w14:textId="77777777" w:rsidTr="009E57AA">
        <w:trPr>
          <w:cantSplit/>
        </w:trPr>
        <w:tc>
          <w:tcPr>
            <w:tcW w:w="1728" w:type="dxa"/>
            <w:vMerge/>
          </w:tcPr>
          <w:p w14:paraId="4FC76734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35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  <w:szCs w:val="24"/>
                <w:lang w:val="es-MX"/>
              </w:rPr>
            </w:pPr>
            <w:r w:rsidRPr="00733CDF">
              <w:rPr>
                <w:rFonts w:ascii="Times New Roman" w:hAnsi="Times New Roman"/>
                <w:szCs w:val="24"/>
                <w:lang w:val="es-MX"/>
              </w:rPr>
              <w:t xml:space="preserve">M3 </w:t>
            </w:r>
            <w:r w:rsidRPr="005512B2">
              <w:rPr>
                <w:rFonts w:ascii="Times New Roman" w:hAnsi="Times New Roman"/>
                <w:szCs w:val="24"/>
                <w:lang w:val="es-MX"/>
              </w:rPr>
              <w:t>-</w:t>
            </w:r>
            <w:r w:rsidRPr="005512B2">
              <w:rPr>
                <w:rFonts w:ascii="Times New Roman" w:hAnsi="Times New Roman"/>
                <w:szCs w:val="24"/>
                <w:lang w:val="es-MX"/>
              </w:rPr>
              <w:tab/>
            </w:r>
            <w:r w:rsidRPr="00733CDF">
              <w:rPr>
                <w:rFonts w:ascii="Times New Roman" w:hAnsi="Times New Roman"/>
                <w:szCs w:val="24"/>
                <w:lang w:val="es-MX"/>
              </w:rPr>
              <w:t xml:space="preserve">No </w:t>
            </w:r>
            <w:r w:rsidRPr="00306A31">
              <w:rPr>
                <w:rFonts w:ascii="Times New Roman" w:hAnsi="Times New Roman"/>
                <w:szCs w:val="24"/>
              </w:rPr>
              <w:t>significant</w:t>
            </w:r>
            <w:r w:rsidRPr="00733CDF">
              <w:rPr>
                <w:rFonts w:ascii="Times New Roman" w:hAnsi="Times New Roman"/>
                <w:szCs w:val="24"/>
                <w:lang w:val="es-MX"/>
              </w:rPr>
              <w:t xml:space="preserve"> </w:t>
            </w:r>
            <w:r w:rsidRPr="00306A31">
              <w:rPr>
                <w:rFonts w:ascii="Times New Roman" w:hAnsi="Times New Roman"/>
                <w:szCs w:val="24"/>
              </w:rPr>
              <w:t>environmental</w:t>
            </w:r>
            <w:r w:rsidRPr="00733CDF">
              <w:rPr>
                <w:rFonts w:ascii="Times New Roman" w:hAnsi="Times New Roman"/>
                <w:szCs w:val="24"/>
                <w:lang w:val="es-MX"/>
              </w:rPr>
              <w:t xml:space="preserve"> </w:t>
            </w:r>
            <w:r w:rsidRPr="00306A31">
              <w:rPr>
                <w:rFonts w:ascii="Times New Roman" w:hAnsi="Times New Roman"/>
                <w:szCs w:val="24"/>
              </w:rPr>
              <w:t>impact</w:t>
            </w:r>
          </w:p>
        </w:tc>
        <w:tc>
          <w:tcPr>
            <w:tcW w:w="1530" w:type="dxa"/>
          </w:tcPr>
          <w:p w14:paraId="4FC76736" w14:textId="77777777" w:rsidR="00347135" w:rsidRPr="001B7594" w:rsidRDefault="00347135" w:rsidP="009E57AA">
            <w:pPr>
              <w:rPr>
                <w:b/>
                <w:lang w:val="es-MX"/>
              </w:rPr>
            </w:pPr>
          </w:p>
        </w:tc>
      </w:tr>
      <w:tr w:rsidR="00347135" w:rsidRPr="00327357" w14:paraId="4FC7673B" w14:textId="77777777" w:rsidTr="009E57AA">
        <w:trPr>
          <w:cantSplit/>
        </w:trPr>
        <w:tc>
          <w:tcPr>
            <w:tcW w:w="1728" w:type="dxa"/>
            <w:vMerge/>
          </w:tcPr>
          <w:p w14:paraId="4FC76738" w14:textId="77777777" w:rsidR="00347135" w:rsidRPr="001B7594" w:rsidRDefault="00347135" w:rsidP="009E57AA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39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</w:rPr>
            </w:pPr>
            <w:r w:rsidRPr="00733CDF">
              <w:rPr>
                <w:rFonts w:ascii="Times New Roman" w:hAnsi="Times New Roman"/>
              </w:rPr>
              <w:t xml:space="preserve">M4 </w:t>
            </w:r>
            <w:r w:rsidRPr="00733CDF">
              <w:rPr>
                <w:rFonts w:ascii="Times New Roman" w:hAnsi="Times New Roman"/>
                <w:szCs w:val="24"/>
              </w:rPr>
              <w:t>-</w:t>
            </w:r>
            <w:r w:rsidRPr="00733CDF">
              <w:rPr>
                <w:rFonts w:ascii="Times New Roman" w:hAnsi="Times New Roman"/>
                <w:szCs w:val="24"/>
              </w:rPr>
              <w:tab/>
              <w:t>Production</w:t>
            </w:r>
            <w:r w:rsidRPr="00733CDF">
              <w:rPr>
                <w:rFonts w:ascii="Times New Roman" w:hAnsi="Times New Roman"/>
              </w:rPr>
              <w:t xml:space="preserve"> downtime less than 1 week</w:t>
            </w:r>
          </w:p>
        </w:tc>
        <w:tc>
          <w:tcPr>
            <w:tcW w:w="1530" w:type="dxa"/>
          </w:tcPr>
          <w:p w14:paraId="4FC7673A" w14:textId="77777777" w:rsidR="00347135" w:rsidRPr="00327357" w:rsidRDefault="00347135" w:rsidP="009E57AA">
            <w:pPr>
              <w:rPr>
                <w:b/>
              </w:rPr>
            </w:pPr>
          </w:p>
        </w:tc>
      </w:tr>
      <w:tr w:rsidR="00347135" w:rsidRPr="00327357" w14:paraId="4FC7673F" w14:textId="77777777" w:rsidTr="009E57AA">
        <w:trPr>
          <w:cantSplit/>
        </w:trPr>
        <w:tc>
          <w:tcPr>
            <w:tcW w:w="1728" w:type="dxa"/>
            <w:vMerge/>
          </w:tcPr>
          <w:p w14:paraId="4FC7673C" w14:textId="77777777" w:rsidR="00347135" w:rsidRPr="00327357" w:rsidRDefault="00347135" w:rsidP="009E57AA">
            <w:pPr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left w:val="nil"/>
            </w:tcBorders>
          </w:tcPr>
          <w:p w14:paraId="4FC7673D" w14:textId="77777777" w:rsidR="00347135" w:rsidRPr="00733CDF" w:rsidRDefault="00347135" w:rsidP="009E57AA">
            <w:pPr>
              <w:pStyle w:val="Style0"/>
              <w:ind w:left="612" w:hanging="612"/>
              <w:rPr>
                <w:rFonts w:ascii="Times New Roman" w:hAnsi="Times New Roman"/>
              </w:rPr>
            </w:pPr>
            <w:r w:rsidRPr="00733CDF">
              <w:rPr>
                <w:rFonts w:ascii="Times New Roman" w:hAnsi="Times New Roman"/>
              </w:rPr>
              <w:t xml:space="preserve">M5 </w:t>
            </w:r>
            <w:r w:rsidRPr="00733CDF">
              <w:rPr>
                <w:rFonts w:ascii="Times New Roman" w:hAnsi="Times New Roman"/>
                <w:szCs w:val="24"/>
              </w:rPr>
              <w:t>-</w:t>
            </w:r>
            <w:r w:rsidRPr="00733CDF">
              <w:rPr>
                <w:rFonts w:ascii="Times New Roman" w:hAnsi="Times New Roman"/>
                <w:szCs w:val="24"/>
              </w:rPr>
              <w:tab/>
              <w:t>Minor</w:t>
            </w:r>
            <w:r w:rsidRPr="00733CDF">
              <w:rPr>
                <w:rFonts w:ascii="Times New Roman" w:hAnsi="Times New Roman"/>
              </w:rPr>
              <w:t xml:space="preserve"> damage to production facility or property damage &lt; $100,000 </w:t>
            </w:r>
            <w:smartTag w:uri="urn:schemas-microsoft-com:office:smarttags" w:element="country-region">
              <w:smartTag w:uri="urn:schemas-microsoft-com:office:smarttags" w:element="place">
                <w:r w:rsidRPr="00733CDF">
                  <w:rPr>
                    <w:rFonts w:ascii="Times New Roman" w:hAnsi="Times New Roman"/>
                  </w:rPr>
                  <w:t>U.S.</w:t>
                </w:r>
              </w:smartTag>
            </w:smartTag>
          </w:p>
        </w:tc>
        <w:tc>
          <w:tcPr>
            <w:tcW w:w="1530" w:type="dxa"/>
          </w:tcPr>
          <w:p w14:paraId="4FC7673E" w14:textId="77777777" w:rsidR="00347135" w:rsidRPr="00327357" w:rsidRDefault="00347135" w:rsidP="009E57AA">
            <w:pPr>
              <w:rPr>
                <w:b/>
              </w:rPr>
            </w:pPr>
          </w:p>
        </w:tc>
      </w:tr>
    </w:tbl>
    <w:p w14:paraId="4FC76740" w14:textId="77777777" w:rsidR="00347135" w:rsidRPr="00327357" w:rsidRDefault="00347135" w:rsidP="00347135">
      <w:pPr>
        <w:pStyle w:val="Heading4"/>
        <w:pBdr>
          <w:bottom w:val="single" w:sz="12" w:space="0" w:color="auto"/>
        </w:pBdr>
        <w:jc w:val="center"/>
        <w:rPr>
          <w:sz w:val="24"/>
          <w:szCs w:val="24"/>
        </w:rPr>
      </w:pPr>
      <w:r w:rsidRPr="00327357">
        <w:rPr>
          <w:sz w:val="24"/>
          <w:szCs w:val="24"/>
        </w:rPr>
        <w:t>Frequency Characteristics: Use 1-Very low, 2-Low, 3-Moderate, 4-High, 5-Very High</w:t>
      </w:r>
    </w:p>
    <w:p w14:paraId="4FC76741" w14:textId="77777777" w:rsidR="00347135" w:rsidRPr="00327357" w:rsidRDefault="00347135" w:rsidP="00347135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0"/>
        <w:gridCol w:w="1800"/>
      </w:tblGrid>
      <w:tr w:rsidR="00347135" w:rsidRPr="00327357" w14:paraId="4FC76744" w14:textId="77777777" w:rsidTr="009E57AA">
        <w:tc>
          <w:tcPr>
            <w:tcW w:w="4590" w:type="dxa"/>
          </w:tcPr>
          <w:p w14:paraId="4FC76742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Complex – interactive</w:t>
            </w:r>
          </w:p>
        </w:tc>
        <w:tc>
          <w:tcPr>
            <w:tcW w:w="1800" w:type="dxa"/>
          </w:tcPr>
          <w:p w14:paraId="4FC76743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47" w14:textId="77777777" w:rsidTr="009E57AA">
        <w:tc>
          <w:tcPr>
            <w:tcW w:w="4590" w:type="dxa"/>
          </w:tcPr>
          <w:p w14:paraId="4FC76745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Complex – coupling</w:t>
            </w:r>
          </w:p>
        </w:tc>
        <w:tc>
          <w:tcPr>
            <w:tcW w:w="1800" w:type="dxa"/>
          </w:tcPr>
          <w:p w14:paraId="4FC76746" w14:textId="77777777" w:rsidR="00347135" w:rsidRPr="00327357" w:rsidRDefault="00347135" w:rsidP="009E57AA">
            <w:pPr>
              <w:pStyle w:val="Style0"/>
              <w:numPr>
                <w:ilvl w:val="12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347135" w:rsidRPr="00327357" w14:paraId="4FC7674A" w14:textId="77777777" w:rsidTr="009E57AA">
        <w:tc>
          <w:tcPr>
            <w:tcW w:w="4590" w:type="dxa"/>
          </w:tcPr>
          <w:p w14:paraId="4FC76748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Dependence on automation</w:t>
            </w:r>
          </w:p>
        </w:tc>
        <w:tc>
          <w:tcPr>
            <w:tcW w:w="1800" w:type="dxa"/>
          </w:tcPr>
          <w:p w14:paraId="4FC76749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4D" w14:textId="77777777" w:rsidTr="009E57AA">
        <w:tc>
          <w:tcPr>
            <w:tcW w:w="4590" w:type="dxa"/>
          </w:tcPr>
          <w:p w14:paraId="4FC7674B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Proximity to low hazard operations</w:t>
            </w:r>
          </w:p>
        </w:tc>
        <w:tc>
          <w:tcPr>
            <w:tcW w:w="1800" w:type="dxa"/>
          </w:tcPr>
          <w:p w14:paraId="4FC7674C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50" w14:textId="77777777" w:rsidTr="009E57AA">
        <w:trPr>
          <w:trHeight w:val="336"/>
        </w:trPr>
        <w:tc>
          <w:tcPr>
            <w:tcW w:w="4590" w:type="dxa"/>
          </w:tcPr>
          <w:p w14:paraId="4FC7674E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 xml:space="preserve">Process – otherwise low </w:t>
            </w:r>
          </w:p>
        </w:tc>
        <w:tc>
          <w:tcPr>
            <w:tcW w:w="1800" w:type="dxa"/>
          </w:tcPr>
          <w:p w14:paraId="4FC7674F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53" w14:textId="77777777" w:rsidTr="009E57AA">
        <w:tc>
          <w:tcPr>
            <w:tcW w:w="4590" w:type="dxa"/>
          </w:tcPr>
          <w:p w14:paraId="4FC76751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Lack of in-depth knowledge</w:t>
            </w:r>
          </w:p>
        </w:tc>
        <w:tc>
          <w:tcPr>
            <w:tcW w:w="1800" w:type="dxa"/>
          </w:tcPr>
          <w:p w14:paraId="4FC76752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56" w14:textId="77777777" w:rsidTr="009E57AA">
        <w:tc>
          <w:tcPr>
            <w:tcW w:w="4590" w:type="dxa"/>
          </w:tcPr>
          <w:p w14:paraId="4FC76754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Human/system interaction</w:t>
            </w:r>
          </w:p>
        </w:tc>
        <w:tc>
          <w:tcPr>
            <w:tcW w:w="1800" w:type="dxa"/>
          </w:tcPr>
          <w:p w14:paraId="4FC76755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59" w14:textId="77777777" w:rsidTr="009E57AA">
        <w:tc>
          <w:tcPr>
            <w:tcW w:w="4590" w:type="dxa"/>
          </w:tcPr>
          <w:p w14:paraId="4FC76757" w14:textId="77777777" w:rsidR="00347135" w:rsidRPr="00327357" w:rsidRDefault="004F7196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noProof/>
              </w:rPr>
              <w:pict w14:anchorId="4FC767AD">
                <v:rect id="_x0000_s1026" style="position:absolute;left:0;text-align:left;margin-left:342pt;margin-top:3.25pt;width:115.2pt;height:66.4pt;z-index:251660288;mso-position-horizontal-relative:text;mso-position-vertical-relative:text" o:allowincell="f">
                  <v:textbox style="mso-next-textbox:#_x0000_s1026" inset="0,0,0,0">
                    <w:txbxContent>
                      <w:p w14:paraId="4FC767AE" w14:textId="77777777" w:rsidR="00347135" w:rsidRPr="00B43D61" w:rsidRDefault="00347135" w:rsidP="00347135">
                        <w:pPr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u w:val="single"/>
                          </w:rPr>
                        </w:pPr>
                        <w:r w:rsidRPr="00B43D61">
                          <w:rPr>
                            <w:u w:val="single"/>
                          </w:rPr>
                          <w:t>Frequency Categories</w:t>
                        </w:r>
                      </w:p>
                      <w:p w14:paraId="4FC767AF" w14:textId="77777777" w:rsidR="00347135" w:rsidRPr="00AA1642" w:rsidRDefault="00347135" w:rsidP="00347135">
                        <w:pPr>
                          <w:numPr>
                            <w:ilvl w:val="12"/>
                            <w:numId w:val="0"/>
                          </w:numPr>
                          <w:jc w:val="center"/>
                        </w:pPr>
                        <w:r w:rsidRPr="00AA1642">
                          <w:t xml:space="preserve">Frequent    </w:t>
                        </w:r>
                        <w:r>
                          <w:t xml:space="preserve"> </w:t>
                        </w:r>
                        <w:r w:rsidRPr="00AA1642">
                          <w:t>44 - 55</w:t>
                        </w:r>
                      </w:p>
                      <w:p w14:paraId="4FC767B0" w14:textId="77777777" w:rsidR="00347135" w:rsidRPr="00AA1642" w:rsidRDefault="00347135" w:rsidP="00347135">
                        <w:pPr>
                          <w:numPr>
                            <w:ilvl w:val="12"/>
                            <w:numId w:val="0"/>
                          </w:numPr>
                          <w:jc w:val="center"/>
                        </w:pPr>
                        <w:r w:rsidRPr="00AA1642">
                          <w:t xml:space="preserve">Infrequent  </w:t>
                        </w:r>
                        <w:r>
                          <w:t xml:space="preserve"> </w:t>
                        </w:r>
                        <w:r w:rsidRPr="00AA1642">
                          <w:t>26 - 43</w:t>
                        </w:r>
                      </w:p>
                      <w:p w14:paraId="4FC767B1" w14:textId="77777777" w:rsidR="00347135" w:rsidRPr="00AA1642" w:rsidRDefault="00347135" w:rsidP="00347135">
                        <w:pPr>
                          <w:numPr>
                            <w:ilvl w:val="12"/>
                            <w:numId w:val="0"/>
                          </w:numPr>
                          <w:jc w:val="center"/>
                        </w:pPr>
                        <w:r w:rsidRPr="00AA1642">
                          <w:t xml:space="preserve">Rare           </w:t>
                        </w:r>
                        <w:r>
                          <w:t xml:space="preserve"> </w:t>
                        </w:r>
                        <w:r w:rsidRPr="00AA1642">
                          <w:t>11 - 25</w:t>
                        </w:r>
                      </w:p>
                    </w:txbxContent>
                  </v:textbox>
                </v:rect>
              </w:pict>
            </w:r>
            <w:r w:rsidR="00347135" w:rsidRPr="00327357">
              <w:rPr>
                <w:color w:val="000000"/>
              </w:rPr>
              <w:t>Unavailability of adequate technical resources</w:t>
            </w:r>
          </w:p>
        </w:tc>
        <w:tc>
          <w:tcPr>
            <w:tcW w:w="1800" w:type="dxa"/>
          </w:tcPr>
          <w:p w14:paraId="4FC76758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5C" w14:textId="77777777" w:rsidTr="009E57AA">
        <w:tc>
          <w:tcPr>
            <w:tcW w:w="4590" w:type="dxa"/>
          </w:tcPr>
          <w:p w14:paraId="4FC7675A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Personnel turnover</w:t>
            </w:r>
          </w:p>
        </w:tc>
        <w:tc>
          <w:tcPr>
            <w:tcW w:w="1800" w:type="dxa"/>
          </w:tcPr>
          <w:p w14:paraId="4FC7675B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5F" w14:textId="77777777" w:rsidTr="009E57AA">
        <w:tc>
          <w:tcPr>
            <w:tcW w:w="4590" w:type="dxa"/>
          </w:tcPr>
          <w:p w14:paraId="4FC7675D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Production vs. protection</w:t>
            </w:r>
          </w:p>
        </w:tc>
        <w:tc>
          <w:tcPr>
            <w:tcW w:w="1800" w:type="dxa"/>
          </w:tcPr>
          <w:p w14:paraId="4FC7675E" w14:textId="77777777" w:rsidR="00347135" w:rsidRPr="00327357" w:rsidRDefault="00347135" w:rsidP="009E57AA">
            <w:pPr>
              <w:numPr>
                <w:ilvl w:val="12"/>
                <w:numId w:val="0"/>
              </w:numPr>
            </w:pPr>
          </w:p>
        </w:tc>
      </w:tr>
      <w:tr w:rsidR="00347135" w:rsidRPr="00327357" w14:paraId="4FC76762" w14:textId="77777777" w:rsidTr="009E57AA">
        <w:tc>
          <w:tcPr>
            <w:tcW w:w="4590" w:type="dxa"/>
          </w:tcPr>
          <w:p w14:paraId="4FC76760" w14:textId="77777777" w:rsidR="00347135" w:rsidRPr="00327357" w:rsidRDefault="00347135" w:rsidP="00347135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327357">
              <w:rPr>
                <w:color w:val="000000"/>
              </w:rPr>
              <w:t>Human/ human interaction</w:t>
            </w:r>
          </w:p>
        </w:tc>
        <w:tc>
          <w:tcPr>
            <w:tcW w:w="1800" w:type="dxa"/>
          </w:tcPr>
          <w:p w14:paraId="4FC76761" w14:textId="77777777" w:rsidR="00347135" w:rsidRPr="00327357" w:rsidRDefault="00347135" w:rsidP="009E57AA"/>
        </w:tc>
      </w:tr>
      <w:tr w:rsidR="00347135" w:rsidRPr="00327357" w14:paraId="4FC76765" w14:textId="77777777" w:rsidTr="009E57AA">
        <w:tc>
          <w:tcPr>
            <w:tcW w:w="4590" w:type="dxa"/>
          </w:tcPr>
          <w:p w14:paraId="4FC76763" w14:textId="77777777" w:rsidR="00347135" w:rsidRPr="00327357" w:rsidRDefault="00347135" w:rsidP="009E57AA">
            <w:pPr>
              <w:spacing w:before="60" w:after="60"/>
              <w:jc w:val="right"/>
              <w:rPr>
                <w:color w:val="000000"/>
              </w:rPr>
            </w:pPr>
            <w:r w:rsidRPr="00327357">
              <w:rPr>
                <w:b/>
                <w:color w:val="000000"/>
              </w:rPr>
              <w:t>Frequency Score (Total</w:t>
            </w:r>
            <w:r w:rsidRPr="00327357">
              <w:rPr>
                <w:color w:val="000000"/>
              </w:rPr>
              <w:t>)</w:t>
            </w:r>
          </w:p>
        </w:tc>
        <w:tc>
          <w:tcPr>
            <w:tcW w:w="1800" w:type="dxa"/>
          </w:tcPr>
          <w:p w14:paraId="4FC76764" w14:textId="77777777" w:rsidR="00347135" w:rsidRPr="00327357" w:rsidRDefault="00347135" w:rsidP="009E57AA"/>
        </w:tc>
      </w:tr>
      <w:tr w:rsidR="00347135" w:rsidRPr="00327357" w14:paraId="4FC76768" w14:textId="77777777" w:rsidTr="009E57AA">
        <w:trPr>
          <w:trHeight w:val="201"/>
        </w:trPr>
        <w:tc>
          <w:tcPr>
            <w:tcW w:w="4590" w:type="dxa"/>
          </w:tcPr>
          <w:p w14:paraId="4FC76766" w14:textId="77777777" w:rsidR="00347135" w:rsidRPr="00327357" w:rsidRDefault="00347135" w:rsidP="009E57AA">
            <w:pPr>
              <w:pStyle w:val="Heading5"/>
              <w:spacing w:before="60"/>
              <w:jc w:val="right"/>
              <w:rPr>
                <w:b w:val="0"/>
                <w:i w:val="0"/>
                <w:sz w:val="24"/>
                <w:szCs w:val="24"/>
              </w:rPr>
            </w:pPr>
            <w:r w:rsidRPr="00327357">
              <w:rPr>
                <w:b w:val="0"/>
                <w:i w:val="0"/>
                <w:sz w:val="24"/>
                <w:szCs w:val="24"/>
              </w:rPr>
              <w:t>Frequency Category</w:t>
            </w:r>
          </w:p>
        </w:tc>
        <w:tc>
          <w:tcPr>
            <w:tcW w:w="1800" w:type="dxa"/>
          </w:tcPr>
          <w:p w14:paraId="4FC76767" w14:textId="77777777" w:rsidR="00347135" w:rsidRPr="00327357" w:rsidRDefault="00347135" w:rsidP="009E57AA"/>
        </w:tc>
      </w:tr>
    </w:tbl>
    <w:p w14:paraId="4FC76769" w14:textId="77777777" w:rsidR="00347135" w:rsidRPr="00327357" w:rsidRDefault="00347135" w:rsidP="00347135">
      <w:pPr>
        <w:pStyle w:val="Heading2"/>
        <w:rPr>
          <w:rFonts w:ascii="Times New Roman" w:hAnsi="Times New Roman" w:cs="Times New Roman"/>
          <w:sz w:val="24"/>
          <w:szCs w:val="24"/>
        </w:rPr>
      </w:pPr>
    </w:p>
    <w:p w14:paraId="4FC7676A" w14:textId="77777777" w:rsidR="00347135" w:rsidRPr="00327357" w:rsidRDefault="00347135" w:rsidP="00347135">
      <w:pPr>
        <w:pStyle w:val="Heading2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288827271"/>
      <w:r w:rsidRPr="00327357">
        <w:rPr>
          <w:rFonts w:ascii="Times New Roman" w:hAnsi="Times New Roman" w:cs="Times New Roman"/>
          <w:sz w:val="24"/>
          <w:szCs w:val="24"/>
        </w:rPr>
        <w:t>Risk Matrix for Determining an SCO</w:t>
      </w:r>
      <w:bookmarkEnd w:id="2"/>
    </w:p>
    <w:p w14:paraId="4FC7676B" w14:textId="77777777" w:rsidR="00347135" w:rsidRPr="00327357" w:rsidRDefault="00347135" w:rsidP="00347135"/>
    <w:tbl>
      <w:tblPr>
        <w:tblW w:w="8820" w:type="dxa"/>
        <w:tblInd w:w="64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620"/>
        <w:gridCol w:w="1625"/>
        <w:gridCol w:w="1975"/>
        <w:gridCol w:w="1800"/>
        <w:gridCol w:w="1800"/>
      </w:tblGrid>
      <w:tr w:rsidR="00347135" w:rsidRPr="00327357" w14:paraId="4FC7676F" w14:textId="77777777" w:rsidTr="009E57AA">
        <w:trPr>
          <w:trHeight w:val="207"/>
        </w:trPr>
        <w:tc>
          <w:tcPr>
            <w:tcW w:w="1620" w:type="dxa"/>
          </w:tcPr>
          <w:p w14:paraId="4FC7676C" w14:textId="77777777" w:rsidR="00347135" w:rsidRPr="00327357" w:rsidRDefault="00347135" w:rsidP="009E57AA"/>
        </w:tc>
        <w:tc>
          <w:tcPr>
            <w:tcW w:w="1625" w:type="dxa"/>
          </w:tcPr>
          <w:p w14:paraId="4FC7676D" w14:textId="77777777" w:rsidR="00347135" w:rsidRPr="00327357" w:rsidRDefault="00347135" w:rsidP="009E57AA"/>
        </w:tc>
        <w:tc>
          <w:tcPr>
            <w:tcW w:w="5575" w:type="dxa"/>
            <w:gridSpan w:val="3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14:paraId="4FC7676E" w14:textId="77777777" w:rsidR="00347135" w:rsidRPr="00327357" w:rsidRDefault="00347135" w:rsidP="009E57AA">
            <w:pPr>
              <w:spacing w:before="120" w:after="120"/>
              <w:jc w:val="center"/>
              <w:rPr>
                <w:b/>
              </w:rPr>
            </w:pPr>
            <w:r w:rsidRPr="00327357">
              <w:rPr>
                <w:b/>
              </w:rPr>
              <w:t>Frequency</w:t>
            </w:r>
          </w:p>
        </w:tc>
      </w:tr>
      <w:tr w:rsidR="00347135" w:rsidRPr="00327357" w14:paraId="4FC7677B" w14:textId="77777777" w:rsidTr="009E57AA">
        <w:trPr>
          <w:trHeight w:val="1182"/>
        </w:trPr>
        <w:tc>
          <w:tcPr>
            <w:tcW w:w="1620" w:type="dxa"/>
          </w:tcPr>
          <w:p w14:paraId="4FC76770" w14:textId="77777777" w:rsidR="00347135" w:rsidRPr="00327357" w:rsidRDefault="00347135" w:rsidP="009E57AA"/>
        </w:tc>
        <w:tc>
          <w:tcPr>
            <w:tcW w:w="1625" w:type="dxa"/>
          </w:tcPr>
          <w:p w14:paraId="4FC76771" w14:textId="77777777" w:rsidR="00347135" w:rsidRPr="00327357" w:rsidRDefault="00347135" w:rsidP="009E57AA"/>
        </w:tc>
        <w:tc>
          <w:tcPr>
            <w:tcW w:w="1975" w:type="dxa"/>
            <w:tcBorders>
              <w:top w:val="single" w:sz="6" w:space="0" w:color="auto"/>
              <w:left w:val="doub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</w:tcPr>
          <w:p w14:paraId="4FC76772" w14:textId="77777777" w:rsidR="00347135" w:rsidRPr="00327357" w:rsidRDefault="00347135" w:rsidP="009E57AA">
            <w:pPr>
              <w:spacing w:before="120"/>
              <w:jc w:val="center"/>
              <w:rPr>
                <w:b/>
              </w:rPr>
            </w:pPr>
            <w:r w:rsidRPr="00327357">
              <w:rPr>
                <w:b/>
              </w:rPr>
              <w:t>Rare</w:t>
            </w:r>
          </w:p>
          <w:p w14:paraId="4FC76773" w14:textId="77777777" w:rsidR="00347135" w:rsidRPr="00327357" w:rsidRDefault="00347135" w:rsidP="009E57AA">
            <w:pPr>
              <w:jc w:val="center"/>
            </w:pPr>
            <w:r w:rsidRPr="00327357">
              <w:t>(11-25)</w:t>
            </w:r>
          </w:p>
          <w:p w14:paraId="4FC76774" w14:textId="77777777" w:rsidR="00347135" w:rsidRPr="00327357" w:rsidRDefault="00347135" w:rsidP="009E57AA">
            <w:pPr>
              <w:jc w:val="center"/>
            </w:pPr>
            <w:r w:rsidRPr="00327357">
              <w:t>&lt;1/1,000 years</w:t>
            </w: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14:paraId="4FC76775" w14:textId="77777777" w:rsidR="00347135" w:rsidRPr="00327357" w:rsidRDefault="00347135" w:rsidP="009E57AA">
            <w:pPr>
              <w:spacing w:before="60"/>
              <w:jc w:val="center"/>
              <w:rPr>
                <w:b/>
              </w:rPr>
            </w:pPr>
            <w:r w:rsidRPr="00327357">
              <w:rPr>
                <w:b/>
              </w:rPr>
              <w:t>Infrequent</w:t>
            </w:r>
          </w:p>
          <w:p w14:paraId="4FC76776" w14:textId="77777777" w:rsidR="00347135" w:rsidRPr="00327357" w:rsidRDefault="00347135" w:rsidP="009E57AA">
            <w:pPr>
              <w:jc w:val="center"/>
            </w:pPr>
            <w:r w:rsidRPr="00327357">
              <w:t>(26-43)</w:t>
            </w:r>
          </w:p>
          <w:p w14:paraId="4FC76777" w14:textId="77777777" w:rsidR="00347135" w:rsidRPr="00327357" w:rsidRDefault="00347135" w:rsidP="009E57AA">
            <w:pPr>
              <w:jc w:val="center"/>
            </w:pPr>
            <w:r w:rsidRPr="00327357">
              <w:t>1/1,000 years – 1/100 years</w:t>
            </w:r>
          </w:p>
        </w:tc>
        <w:tc>
          <w:tcPr>
            <w:tcW w:w="1800" w:type="dxa"/>
            <w:tcBorders>
              <w:top w:val="single" w:sz="6" w:space="0" w:color="auto"/>
              <w:right w:val="double" w:sz="6" w:space="0" w:color="auto"/>
            </w:tcBorders>
            <w:shd w:val="clear" w:color="auto" w:fill="FFFFFF"/>
          </w:tcPr>
          <w:p w14:paraId="4FC76778" w14:textId="77777777" w:rsidR="00347135" w:rsidRPr="00327357" w:rsidRDefault="00347135" w:rsidP="009E57AA">
            <w:pPr>
              <w:spacing w:before="120"/>
              <w:jc w:val="center"/>
              <w:rPr>
                <w:b/>
              </w:rPr>
            </w:pPr>
            <w:r w:rsidRPr="00327357">
              <w:rPr>
                <w:b/>
              </w:rPr>
              <w:t>Frequent</w:t>
            </w:r>
          </w:p>
          <w:p w14:paraId="4FC76779" w14:textId="77777777" w:rsidR="00347135" w:rsidRPr="00327357" w:rsidRDefault="00347135" w:rsidP="009E57AA">
            <w:pPr>
              <w:jc w:val="center"/>
            </w:pPr>
            <w:r w:rsidRPr="00327357">
              <w:t>(44-55)</w:t>
            </w:r>
          </w:p>
          <w:p w14:paraId="4FC7677A" w14:textId="77777777" w:rsidR="00347135" w:rsidRPr="00327357" w:rsidRDefault="00347135" w:rsidP="009E57AA">
            <w:pPr>
              <w:jc w:val="center"/>
            </w:pPr>
            <w:r w:rsidRPr="00327357">
              <w:t>&gt;1/100 years</w:t>
            </w:r>
          </w:p>
        </w:tc>
      </w:tr>
      <w:tr w:rsidR="00347135" w:rsidRPr="00327357" w14:paraId="4FC76785" w14:textId="77777777" w:rsidTr="009E57AA">
        <w:trPr>
          <w:trHeight w:val="1359"/>
        </w:trPr>
        <w:tc>
          <w:tcPr>
            <w:tcW w:w="1620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FFFFFF"/>
          </w:tcPr>
          <w:p w14:paraId="4FC7677C" w14:textId="77777777" w:rsidR="00347135" w:rsidRPr="00327357" w:rsidRDefault="00347135" w:rsidP="009E57AA">
            <w:pPr>
              <w:ind w:left="-107"/>
            </w:pPr>
          </w:p>
        </w:tc>
        <w:tc>
          <w:tcPr>
            <w:tcW w:w="1625" w:type="dxa"/>
            <w:tcBorders>
              <w:top w:val="doub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FC7677D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Catastrophic</w:t>
            </w:r>
          </w:p>
        </w:tc>
        <w:tc>
          <w:tcPr>
            <w:tcW w:w="1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/>
            <w:vAlign w:val="center"/>
          </w:tcPr>
          <w:p w14:paraId="4FC7677E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4</w:t>
            </w:r>
          </w:p>
          <w:p w14:paraId="4FC7677F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Non-SCO</w:t>
            </w:r>
          </w:p>
          <w:p w14:paraId="4FC76780" w14:textId="77777777" w:rsidR="00347135" w:rsidRPr="003F5E69" w:rsidRDefault="00347135" w:rsidP="009E57AA">
            <w:pPr>
              <w:jc w:val="center"/>
            </w:pPr>
            <w:r w:rsidRPr="003F5E69">
              <w:rPr>
                <w:b/>
              </w:rPr>
              <w:t>Potential HRO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FF0000"/>
            <w:vAlign w:val="center"/>
          </w:tcPr>
          <w:p w14:paraId="4FC76781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2</w:t>
            </w:r>
          </w:p>
          <w:p w14:paraId="4FC76782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SCO</w:t>
            </w:r>
          </w:p>
        </w:tc>
        <w:tc>
          <w:tcPr>
            <w:tcW w:w="1800" w:type="dxa"/>
            <w:tcBorders>
              <w:top w:val="single" w:sz="18" w:space="0" w:color="000000"/>
              <w:right w:val="single" w:sz="18" w:space="0" w:color="auto"/>
            </w:tcBorders>
            <w:shd w:val="clear" w:color="auto" w:fill="FF0000"/>
            <w:vAlign w:val="center"/>
          </w:tcPr>
          <w:p w14:paraId="4FC76783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1</w:t>
            </w:r>
          </w:p>
          <w:p w14:paraId="4FC76784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SCO</w:t>
            </w:r>
          </w:p>
        </w:tc>
      </w:tr>
      <w:tr w:rsidR="00347135" w:rsidRPr="00327357" w14:paraId="4FC7678F" w14:textId="77777777" w:rsidTr="009E57AA">
        <w:trPr>
          <w:trHeight w:val="1107"/>
        </w:trPr>
        <w:tc>
          <w:tcPr>
            <w:tcW w:w="1620" w:type="dxa"/>
            <w:tcBorders>
              <w:left w:val="double" w:sz="6" w:space="0" w:color="auto"/>
              <w:right w:val="single" w:sz="6" w:space="0" w:color="auto"/>
            </w:tcBorders>
            <w:shd w:val="clear" w:color="auto" w:fill="FFFFFF"/>
          </w:tcPr>
          <w:p w14:paraId="4FC76786" w14:textId="77777777" w:rsidR="00347135" w:rsidRPr="00327357" w:rsidRDefault="00347135" w:rsidP="009E57AA">
            <w:pPr>
              <w:ind w:left="-115"/>
              <w:jc w:val="center"/>
            </w:pPr>
            <w:r w:rsidRPr="00327357">
              <w:rPr>
                <w:b/>
              </w:rPr>
              <w:t>Consequence</w:t>
            </w:r>
          </w:p>
        </w:tc>
        <w:tc>
          <w:tcPr>
            <w:tcW w:w="1625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4FC76787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Severe</w:t>
            </w:r>
          </w:p>
        </w:tc>
        <w:tc>
          <w:tcPr>
            <w:tcW w:w="197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FC76788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7</w:t>
            </w:r>
          </w:p>
          <w:p w14:paraId="4FC76789" w14:textId="77777777" w:rsidR="00347135" w:rsidRPr="003F5E69" w:rsidRDefault="00347135" w:rsidP="009E57AA">
            <w:pPr>
              <w:jc w:val="center"/>
            </w:pPr>
            <w:r w:rsidRPr="003F5E69">
              <w:t>Non-SCO/HRO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C000"/>
            <w:vAlign w:val="center"/>
          </w:tcPr>
          <w:p w14:paraId="4FC7678A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5</w:t>
            </w:r>
          </w:p>
          <w:p w14:paraId="4FC7678B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Non-SCO</w:t>
            </w:r>
          </w:p>
          <w:p w14:paraId="4FC7678C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Potential HRO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14:paraId="4FC7678D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3</w:t>
            </w:r>
          </w:p>
          <w:p w14:paraId="4FC7678E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SCO</w:t>
            </w:r>
          </w:p>
        </w:tc>
      </w:tr>
      <w:tr w:rsidR="00347135" w:rsidRPr="00327357" w14:paraId="4FC76798" w14:textId="77777777" w:rsidTr="009E57AA">
        <w:trPr>
          <w:trHeight w:val="1224"/>
        </w:trPr>
        <w:tc>
          <w:tcPr>
            <w:tcW w:w="162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</w:tcPr>
          <w:p w14:paraId="4FC76790" w14:textId="77777777" w:rsidR="00347135" w:rsidRPr="00327357" w:rsidRDefault="00347135" w:rsidP="009E57AA"/>
        </w:tc>
        <w:tc>
          <w:tcPr>
            <w:tcW w:w="1625" w:type="dxa"/>
            <w:tcBorders>
              <w:top w:val="single" w:sz="6" w:space="0" w:color="auto"/>
              <w:bottom w:val="double" w:sz="6" w:space="0" w:color="auto"/>
            </w:tcBorders>
            <w:shd w:val="clear" w:color="auto" w:fill="FFFFFF"/>
            <w:vAlign w:val="center"/>
          </w:tcPr>
          <w:p w14:paraId="4FC76791" w14:textId="77777777" w:rsidR="00347135" w:rsidRPr="00327357" w:rsidRDefault="00347135" w:rsidP="009E57AA">
            <w:pPr>
              <w:jc w:val="center"/>
              <w:rPr>
                <w:b/>
              </w:rPr>
            </w:pPr>
            <w:r w:rsidRPr="00327357">
              <w:rPr>
                <w:b/>
              </w:rPr>
              <w:t>Minor</w:t>
            </w:r>
          </w:p>
        </w:tc>
        <w:tc>
          <w:tcPr>
            <w:tcW w:w="197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4FC76792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9</w:t>
            </w:r>
          </w:p>
          <w:p w14:paraId="4FC76793" w14:textId="77777777" w:rsidR="00347135" w:rsidRPr="003F5E69" w:rsidRDefault="00347135" w:rsidP="009E57AA">
            <w:pPr>
              <w:jc w:val="center"/>
            </w:pPr>
            <w:r w:rsidRPr="003F5E69">
              <w:t>Non-SCO/HRO</w:t>
            </w:r>
          </w:p>
        </w:tc>
        <w:tc>
          <w:tcPr>
            <w:tcW w:w="1800" w:type="dxa"/>
            <w:tcBorders>
              <w:top w:val="single" w:sz="18" w:space="0" w:color="auto"/>
              <w:bottom w:val="doub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4FC76794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8</w:t>
            </w:r>
          </w:p>
          <w:p w14:paraId="4FC76795" w14:textId="77777777" w:rsidR="00347135" w:rsidRPr="003F5E69" w:rsidRDefault="00347135" w:rsidP="009E57AA">
            <w:pPr>
              <w:jc w:val="center"/>
            </w:pPr>
            <w:r w:rsidRPr="003F5E69">
              <w:t>Non-SCO/HRO</w:t>
            </w:r>
          </w:p>
        </w:tc>
        <w:tc>
          <w:tcPr>
            <w:tcW w:w="1800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14:paraId="4FC76796" w14:textId="77777777" w:rsidR="00347135" w:rsidRPr="003F5E69" w:rsidRDefault="00347135" w:rsidP="009E57AA">
            <w:pPr>
              <w:jc w:val="center"/>
              <w:rPr>
                <w:b/>
              </w:rPr>
            </w:pPr>
            <w:r w:rsidRPr="003F5E69">
              <w:rPr>
                <w:b/>
              </w:rPr>
              <w:t>Cell 6</w:t>
            </w:r>
          </w:p>
          <w:p w14:paraId="4FC76797" w14:textId="77777777" w:rsidR="00347135" w:rsidRPr="003F5E69" w:rsidRDefault="00347135" w:rsidP="009E57AA">
            <w:pPr>
              <w:jc w:val="center"/>
            </w:pPr>
            <w:r w:rsidRPr="003F5E69">
              <w:t>Non-SCO/HRO</w:t>
            </w:r>
          </w:p>
        </w:tc>
      </w:tr>
    </w:tbl>
    <w:p w14:paraId="4FC76799" w14:textId="77777777" w:rsidR="00347135" w:rsidRPr="00327357" w:rsidRDefault="00347135" w:rsidP="00347135"/>
    <w:p w14:paraId="4FC7679A" w14:textId="77777777" w:rsidR="00347135" w:rsidRPr="00327357" w:rsidRDefault="00347135" w:rsidP="00347135">
      <w:pPr>
        <w:tabs>
          <w:tab w:val="left" w:pos="2241"/>
          <w:tab w:val="left" w:pos="4041"/>
          <w:tab w:val="left" w:pos="5997"/>
          <w:tab w:val="left" w:pos="7577"/>
        </w:tabs>
      </w:pPr>
    </w:p>
    <w:tbl>
      <w:tblPr>
        <w:tblW w:w="9580" w:type="dxa"/>
        <w:tblInd w:w="-1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2071"/>
        <w:gridCol w:w="7491"/>
      </w:tblGrid>
      <w:tr w:rsidR="00347135" w:rsidRPr="00327357" w14:paraId="4FC7679D" w14:textId="77777777" w:rsidTr="009E57AA">
        <w:trPr>
          <w:gridBefore w:val="1"/>
          <w:wBefore w:w="18" w:type="dxa"/>
          <w:trHeight w:hRule="exact" w:val="558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7679B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  <w:r w:rsidRPr="00327357">
              <w:rPr>
                <w:b w:val="0"/>
                <w:sz w:val="24"/>
                <w:szCs w:val="24"/>
              </w:rPr>
              <w:t xml:space="preserve">SCO </w:t>
            </w:r>
            <w:r>
              <w:rPr>
                <w:b w:val="0"/>
                <w:sz w:val="24"/>
                <w:szCs w:val="24"/>
              </w:rPr>
              <w:t>Justification</w:t>
            </w:r>
            <w:r w:rsidRPr="00327357">
              <w:rPr>
                <w:b w:val="0"/>
                <w:sz w:val="24"/>
                <w:szCs w:val="24"/>
              </w:rPr>
              <w:t>:</w:t>
            </w:r>
          </w:p>
        </w:tc>
        <w:tc>
          <w:tcPr>
            <w:tcW w:w="7491" w:type="dxa"/>
            <w:tcBorders>
              <w:left w:val="nil"/>
              <w:bottom w:val="single" w:sz="4" w:space="0" w:color="auto"/>
            </w:tcBorders>
          </w:tcPr>
          <w:p w14:paraId="4FC7679C" w14:textId="77777777" w:rsidR="00347135" w:rsidRPr="00327357" w:rsidRDefault="00347135" w:rsidP="009E57AA">
            <w:pPr>
              <w:pStyle w:val="Heading4"/>
              <w:rPr>
                <w:sz w:val="24"/>
                <w:szCs w:val="24"/>
              </w:rPr>
            </w:pPr>
          </w:p>
        </w:tc>
      </w:tr>
      <w:tr w:rsidR="00347135" w:rsidRPr="00327357" w14:paraId="4FC7679F" w14:textId="77777777" w:rsidTr="009E57AA">
        <w:trPr>
          <w:trHeight w:hRule="exact" w:val="600"/>
        </w:trPr>
        <w:tc>
          <w:tcPr>
            <w:tcW w:w="9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679E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</w:p>
        </w:tc>
      </w:tr>
      <w:tr w:rsidR="00347135" w:rsidRPr="00327357" w14:paraId="4FC767A1" w14:textId="77777777" w:rsidTr="009E57AA">
        <w:trPr>
          <w:trHeight w:hRule="exact" w:val="600"/>
        </w:trPr>
        <w:tc>
          <w:tcPr>
            <w:tcW w:w="9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67A0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</w:p>
        </w:tc>
      </w:tr>
      <w:tr w:rsidR="00347135" w:rsidRPr="00327357" w14:paraId="4FC767A3" w14:textId="77777777" w:rsidTr="009E57AA">
        <w:trPr>
          <w:trHeight w:hRule="exact" w:val="600"/>
        </w:trPr>
        <w:tc>
          <w:tcPr>
            <w:tcW w:w="9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67A2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</w:p>
        </w:tc>
      </w:tr>
      <w:tr w:rsidR="00347135" w:rsidRPr="00327357" w14:paraId="4FC767A5" w14:textId="77777777" w:rsidTr="009E57AA">
        <w:trPr>
          <w:trHeight w:hRule="exact" w:val="600"/>
        </w:trPr>
        <w:tc>
          <w:tcPr>
            <w:tcW w:w="9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67A4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</w:p>
        </w:tc>
      </w:tr>
      <w:tr w:rsidR="00347135" w:rsidRPr="00327357" w14:paraId="4FC767A7" w14:textId="77777777" w:rsidTr="009E57AA">
        <w:trPr>
          <w:trHeight w:hRule="exact" w:val="600"/>
        </w:trPr>
        <w:tc>
          <w:tcPr>
            <w:tcW w:w="9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67A6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</w:p>
        </w:tc>
      </w:tr>
      <w:tr w:rsidR="00347135" w:rsidRPr="00327357" w14:paraId="4FC767A9" w14:textId="77777777" w:rsidTr="009E57AA">
        <w:trPr>
          <w:trHeight w:hRule="exact" w:val="600"/>
        </w:trPr>
        <w:tc>
          <w:tcPr>
            <w:tcW w:w="9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67A8" w14:textId="77777777" w:rsidR="00347135" w:rsidRPr="00327357" w:rsidRDefault="00347135" w:rsidP="009E57AA">
            <w:pPr>
              <w:pStyle w:val="Heading4"/>
              <w:rPr>
                <w:b w:val="0"/>
                <w:sz w:val="24"/>
                <w:szCs w:val="24"/>
              </w:rPr>
            </w:pPr>
          </w:p>
        </w:tc>
      </w:tr>
    </w:tbl>
    <w:p w14:paraId="4FC767AA" w14:textId="77777777" w:rsidR="00347135" w:rsidRPr="00327357" w:rsidRDefault="00347135" w:rsidP="00347135"/>
    <w:p w14:paraId="4FC767AB" w14:textId="77777777" w:rsidR="00456DC8" w:rsidRDefault="00456DC8"/>
    <w:sectPr w:rsidR="00456DC8" w:rsidSect="00456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E2F8B"/>
    <w:multiLevelType w:val="multilevel"/>
    <w:tmpl w:val="C9F2F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B067C0A"/>
    <w:multiLevelType w:val="singleLevel"/>
    <w:tmpl w:val="44A272E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7135"/>
    <w:rsid w:val="0005602D"/>
    <w:rsid w:val="000B6172"/>
    <w:rsid w:val="00114C80"/>
    <w:rsid w:val="001267F8"/>
    <w:rsid w:val="0019697A"/>
    <w:rsid w:val="002E771B"/>
    <w:rsid w:val="00304AB3"/>
    <w:rsid w:val="00317C28"/>
    <w:rsid w:val="00332A96"/>
    <w:rsid w:val="00347135"/>
    <w:rsid w:val="00375CDE"/>
    <w:rsid w:val="0041267F"/>
    <w:rsid w:val="00456DC8"/>
    <w:rsid w:val="004F7196"/>
    <w:rsid w:val="005A55A4"/>
    <w:rsid w:val="005A5A6B"/>
    <w:rsid w:val="007A1967"/>
    <w:rsid w:val="007F2D8B"/>
    <w:rsid w:val="00803FD5"/>
    <w:rsid w:val="00880B2C"/>
    <w:rsid w:val="009510E1"/>
    <w:rsid w:val="009D5605"/>
    <w:rsid w:val="009E23DB"/>
    <w:rsid w:val="00A27EAD"/>
    <w:rsid w:val="00A9537F"/>
    <w:rsid w:val="00B46091"/>
    <w:rsid w:val="00BC5DC8"/>
    <w:rsid w:val="00C44FF8"/>
    <w:rsid w:val="00CD4F18"/>
    <w:rsid w:val="00CF7D97"/>
    <w:rsid w:val="00D4564F"/>
    <w:rsid w:val="00D72F68"/>
    <w:rsid w:val="00DB233E"/>
    <w:rsid w:val="00DE060B"/>
    <w:rsid w:val="00E026AE"/>
    <w:rsid w:val="00E20F02"/>
    <w:rsid w:val="00E7148B"/>
    <w:rsid w:val="00E95AEA"/>
    <w:rsid w:val="00EA52BA"/>
    <w:rsid w:val="00F000BF"/>
    <w:rsid w:val="00F02D2B"/>
    <w:rsid w:val="00F044EE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  <w14:docId w14:val="4FC76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47135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47135"/>
    <w:pPr>
      <w:keepNext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Heading4">
    <w:name w:val="heading 4"/>
    <w:basedOn w:val="Normal"/>
    <w:next w:val="Normal"/>
    <w:link w:val="Heading4Char"/>
    <w:qFormat/>
    <w:rsid w:val="0034713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471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713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47135"/>
    <w:rPr>
      <w:rFonts w:ascii="Arial" w:eastAsia="Times New Roman" w:hAnsi="Arial" w:cs="Arial"/>
      <w:b/>
      <w:bCs/>
      <w:iCs/>
      <w:sz w:val="20"/>
      <w:szCs w:val="28"/>
    </w:rPr>
  </w:style>
  <w:style w:type="character" w:customStyle="1" w:styleId="Heading4Char">
    <w:name w:val="Heading 4 Char"/>
    <w:basedOn w:val="DefaultParagraphFont"/>
    <w:link w:val="Heading4"/>
    <w:rsid w:val="0034713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34713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Style0">
    <w:name w:val="Style0"/>
    <w:rsid w:val="00347135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89CDA07FFC3489CE620E1A06B8646" ma:contentTypeVersion="4" ma:contentTypeDescription="Create a new document." ma:contentTypeScope="" ma:versionID="ff0af537b01d910cfb0e95dbd020c02e">
  <xsd:schema xmlns:xsd="http://www.w3.org/2001/XMLSchema" xmlns:xs="http://www.w3.org/2001/XMLSchema" xmlns:p="http://schemas.microsoft.com/office/2006/metadata/properties" xmlns:ns2="33648e8c-5399-4ce0-994e-2f4ddb1c4614" targetNamespace="http://schemas.microsoft.com/office/2006/metadata/properties" ma:root="true" ma:fieldsID="a25891ea9a3e70a5dcc6ff24cfe1fb4f" ns2:_="">
    <xsd:import namespace="33648e8c-5399-4ce0-994e-2f4ddb1c461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2:EnterpriseSensitivityClassification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eac92628-641a-49cb-b058-03380ddc5eff}" ma:internalName="TaxCatchAll" ma:showField="CatchAllData" ma:web="aa92abef-67fd-4985-b9ab-0d854d44cc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eac92628-641a-49cb-b058-03380ddc5eff}" ma:internalName="TaxCatchAllLabel" ma:readOnly="true" ma:showField="CatchAllDataLabel" ma:web="aa92abef-67fd-4985-b9ab-0d854d44cc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10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2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SensitivityClassificationTaxHTField0" ma:index="14" ma:taxonomy="true" ma:internalName="EnterpriseSensitivityClassificationTaxHTField0" ma:taxonomyFieldName="EnterpriseSensitivityClassification" ma:displayName="Lilly Sensitivity Classification" ma:readOnly="false" ma:default="3;#GREEN|ec74153f-63be-46a4-ae5f-1b86c809897d" ma:fieldId="{beb4f0e4-155c-4680-a325-d4697a0b6b89}" ma:sspId="dc7d05db-9a88-43f7-9979-b3027636d983" ma:termSetId="d0f2adb2-a6de-4981-b791-99cbcd8ecd8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3</Value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SensitivityClassification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GREEN</TermName>
          <TermId xmlns="http://schemas.microsoft.com/office/infopath/2007/PartnerControls">ec74153f-63be-46a4-ae5f-1b86c809897d</TermId>
        </TermInfo>
      </Terms>
    </EnterpriseSensitivityClassification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</documentManagement>
</p:properties>
</file>

<file path=customXml/item3.xml><?xml version="1.0" encoding="utf-8"?>
<?mso-contentType ?>
<SharedContentType xmlns="Microsoft.SharePoint.Taxonomy.ContentTypeSync" SourceId="dc7d05db-9a88-43f7-9979-b3027636d98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F57A0-7418-4114-B72D-6CFE1152E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5035F4-7EFC-4C62-B469-B2445A25CF7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3648e8c-5399-4ce0-994e-2f4ddb1c461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590264-38A1-4596-AAF0-7B9E9F303EA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3227799-B709-4CD5-969F-658A1EB7D0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 Lilly and Company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 Lilly and Company</dc:creator>
  <cp:lastModifiedBy>Eli Lilly and Company</cp:lastModifiedBy>
  <cp:revision>2</cp:revision>
  <dcterms:created xsi:type="dcterms:W3CDTF">2013-10-25T16:30:00Z</dcterms:created>
  <dcterms:modified xsi:type="dcterms:W3CDTF">2013-10-25T16:30:00Z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0x01010097189CDA07FFC3489CE620E1A06B8646</vt:lpwstr>
  </property>
  <property fmtid="{D5CDD505-2E9C-101B-9397-08002B2CF9AE}" pid="3" name="EnterpriseDocumentLanguage">
    <vt:lpwstr>2;#eng|39540796-0396-4e54-afe9-a602f28bbe8f</vt:lpwstr>
  </property>
  <property fmtid="{D5CDD505-2E9C-101B-9397-08002B2CF9AE}" pid="4" name="EnterpriseRecordSeriesCode">
    <vt:lpwstr>1;#ADM130|70dc3311-3e76-421c-abfa-d108df48853c</vt:lpwstr>
  </property>
  <property fmtid="{D5CDD505-2E9C-101B-9397-08002B2CF9AE}" pid="5" name="EnterpriseSensitivityClassification">
    <vt:lpwstr>3;#GREEN|ec74153f-63be-46a4-ae5f-1b86c809897d</vt:lpwstr>
  </property>
</Properties>
</file>