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FDFD10" w14:textId="77777777" w:rsidR="007069DB" w:rsidRDefault="007069DB" w:rsidP="007069DB">
      <w:pPr>
        <w:spacing w:before="120" w:after="60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14:paraId="4FFDFD11" w14:textId="77777777" w:rsidR="00DE4760" w:rsidRDefault="00DE4760" w:rsidP="007069DB">
      <w:pPr>
        <w:spacing w:before="120" w:after="60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6" w:space="0" w:color="auto"/>
          <w:insideV w:val="single" w:sz="6" w:space="0" w:color="auto"/>
        </w:tblBorders>
        <w:tblCellMar>
          <w:left w:w="72" w:type="dxa"/>
          <w:right w:w="72" w:type="dxa"/>
        </w:tblCellMar>
        <w:tblLook w:val="01E0" w:firstRow="1" w:lastRow="1" w:firstColumn="1" w:lastColumn="1" w:noHBand="0" w:noVBand="0"/>
      </w:tblPr>
      <w:tblGrid>
        <w:gridCol w:w="9360"/>
      </w:tblGrid>
      <w:tr w:rsidR="00DE4760" w:rsidRPr="0002057F" w14:paraId="4FFDFD13" w14:textId="77777777" w:rsidTr="0002057F">
        <w:tc>
          <w:tcPr>
            <w:tcW w:w="9360" w:type="dxa"/>
          </w:tcPr>
          <w:p w14:paraId="4FFDFD12" w14:textId="77777777" w:rsidR="00DE4760" w:rsidRPr="0002057F" w:rsidRDefault="00DE4760" w:rsidP="0002057F">
            <w:pPr>
              <w:jc w:val="center"/>
              <w:rPr>
                <w:sz w:val="28"/>
                <w:szCs w:val="28"/>
              </w:rPr>
            </w:pPr>
            <w:r w:rsidRPr="0002057F">
              <w:rPr>
                <w:sz w:val="28"/>
                <w:szCs w:val="28"/>
              </w:rPr>
              <w:t>Eli Lilly and Company</w:t>
            </w:r>
          </w:p>
        </w:tc>
      </w:tr>
      <w:tr w:rsidR="00DE4760" w:rsidRPr="0002057F" w14:paraId="4FFDFD15" w14:textId="77777777" w:rsidTr="0002057F">
        <w:tc>
          <w:tcPr>
            <w:tcW w:w="9360" w:type="dxa"/>
          </w:tcPr>
          <w:p w14:paraId="4FFDFD14" w14:textId="3212027B" w:rsidR="00DE4760" w:rsidRPr="0002057F" w:rsidRDefault="00DE4760" w:rsidP="00831F5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E4760" w:rsidRPr="0002057F" w14:paraId="4FFDFD17" w14:textId="77777777" w:rsidTr="0002057F">
        <w:tc>
          <w:tcPr>
            <w:tcW w:w="9360" w:type="dxa"/>
          </w:tcPr>
          <w:p w14:paraId="4FFDFD16" w14:textId="77777777" w:rsidR="00DE4760" w:rsidRPr="0002057F" w:rsidRDefault="00DE4760" w:rsidP="00FC1C1F">
            <w:pPr>
              <w:rPr>
                <w:b/>
                <w:sz w:val="28"/>
                <w:szCs w:val="28"/>
              </w:rPr>
            </w:pPr>
            <w:r w:rsidRPr="0002057F">
              <w:rPr>
                <w:b/>
                <w:sz w:val="28"/>
                <w:szCs w:val="28"/>
              </w:rPr>
              <w:t>Document Number:</w:t>
            </w:r>
            <w:r w:rsidRPr="0002057F">
              <w:rPr>
                <w:b/>
              </w:rPr>
              <w:t xml:space="preserve">  </w:t>
            </w:r>
            <w:bookmarkStart w:id="1" w:name="OLE_LINK1"/>
            <w:bookmarkStart w:id="2" w:name="OLE_LINK2"/>
            <w:r w:rsidR="008A47B4">
              <w:rPr>
                <w:b/>
              </w:rPr>
              <w:t>GPME-SOP-SAF-CP</w:t>
            </w:r>
            <w:r w:rsidR="00FC1C1F">
              <w:rPr>
                <w:b/>
              </w:rPr>
              <w:t>H</w:t>
            </w:r>
            <w:r w:rsidR="00B315FF">
              <w:rPr>
                <w:b/>
              </w:rPr>
              <w:t>P</w:t>
            </w:r>
            <w:r w:rsidRPr="0002057F">
              <w:rPr>
                <w:b/>
              </w:rPr>
              <w:t>-</w:t>
            </w:r>
            <w:bookmarkEnd w:id="1"/>
            <w:bookmarkEnd w:id="2"/>
            <w:r w:rsidR="008A47B4">
              <w:rPr>
                <w:b/>
              </w:rPr>
              <w:t>101</w:t>
            </w:r>
            <w:r w:rsidR="00FC1C1F">
              <w:rPr>
                <w:b/>
              </w:rPr>
              <w:t>7</w:t>
            </w:r>
          </w:p>
        </w:tc>
      </w:tr>
      <w:tr w:rsidR="00DA6ED3" w:rsidRPr="0002057F" w14:paraId="4FFDFD19" w14:textId="77777777" w:rsidTr="0002057F">
        <w:tc>
          <w:tcPr>
            <w:tcW w:w="9360" w:type="dxa"/>
          </w:tcPr>
          <w:p w14:paraId="4FFDFD18" w14:textId="77777777" w:rsidR="00DA6ED3" w:rsidRPr="0002057F" w:rsidRDefault="00D75DA7" w:rsidP="0033728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Category:  Industrial Safety</w:t>
            </w:r>
            <w:r w:rsidR="00345502" w:rsidRPr="0002057F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DE4760" w:rsidRPr="0002057F" w14:paraId="4FFDFD1B" w14:textId="77777777" w:rsidTr="0002057F">
        <w:tc>
          <w:tcPr>
            <w:tcW w:w="9360" w:type="dxa"/>
          </w:tcPr>
          <w:p w14:paraId="4FFDFD1A" w14:textId="77777777" w:rsidR="00DE4760" w:rsidRPr="0002057F" w:rsidRDefault="00DE4760" w:rsidP="00FC1C1F">
            <w:pPr>
              <w:rPr>
                <w:b/>
              </w:rPr>
            </w:pPr>
            <w:r w:rsidRPr="0002057F">
              <w:rPr>
                <w:b/>
                <w:sz w:val="28"/>
                <w:szCs w:val="28"/>
              </w:rPr>
              <w:t xml:space="preserve">Name:  </w:t>
            </w:r>
            <w:r w:rsidR="00D75DA7">
              <w:rPr>
                <w:b/>
                <w:sz w:val="28"/>
                <w:szCs w:val="28"/>
              </w:rPr>
              <w:t>C</w:t>
            </w:r>
            <w:r w:rsidR="00FC1C1F">
              <w:rPr>
                <w:b/>
                <w:sz w:val="28"/>
                <w:szCs w:val="28"/>
              </w:rPr>
              <w:t>atastr</w:t>
            </w:r>
            <w:r w:rsidR="00D75DA7">
              <w:rPr>
                <w:b/>
                <w:sz w:val="28"/>
                <w:szCs w:val="28"/>
              </w:rPr>
              <w:t>o</w:t>
            </w:r>
            <w:r w:rsidR="00FC1C1F">
              <w:rPr>
                <w:b/>
                <w:sz w:val="28"/>
                <w:szCs w:val="28"/>
              </w:rPr>
              <w:t>phic</w:t>
            </w:r>
            <w:r w:rsidR="00D75DA7">
              <w:rPr>
                <w:b/>
                <w:sz w:val="28"/>
                <w:szCs w:val="28"/>
              </w:rPr>
              <w:t xml:space="preserve"> </w:t>
            </w:r>
            <w:r w:rsidR="00FC1C1F">
              <w:rPr>
                <w:b/>
                <w:sz w:val="28"/>
                <w:szCs w:val="28"/>
              </w:rPr>
              <w:t>Potential</w:t>
            </w:r>
            <w:r w:rsidR="00D75DA7">
              <w:rPr>
                <w:b/>
                <w:sz w:val="28"/>
                <w:szCs w:val="28"/>
              </w:rPr>
              <w:t xml:space="preserve"> </w:t>
            </w:r>
            <w:r w:rsidR="004A7AE9">
              <w:rPr>
                <w:b/>
                <w:sz w:val="28"/>
                <w:szCs w:val="28"/>
              </w:rPr>
              <w:t>Hazard</w:t>
            </w:r>
            <w:r w:rsidR="00FC1C1F">
              <w:rPr>
                <w:b/>
                <w:sz w:val="28"/>
                <w:szCs w:val="28"/>
              </w:rPr>
              <w:t>s</w:t>
            </w:r>
            <w:r w:rsidR="004A7AE9">
              <w:rPr>
                <w:b/>
                <w:sz w:val="28"/>
                <w:szCs w:val="28"/>
              </w:rPr>
              <w:t xml:space="preserve"> Program</w:t>
            </w:r>
          </w:p>
        </w:tc>
      </w:tr>
    </w:tbl>
    <w:p w14:paraId="4FFDFD1C" w14:textId="77777777" w:rsidR="00DE4760" w:rsidRDefault="00DE4760" w:rsidP="007069DB">
      <w:pPr>
        <w:spacing w:before="120" w:after="60"/>
        <w:rPr>
          <w:rFonts w:ascii="Arial" w:hAnsi="Arial" w:cs="Arial"/>
          <w:b/>
          <w:sz w:val="28"/>
          <w:szCs w:val="28"/>
        </w:rPr>
      </w:pPr>
    </w:p>
    <w:p w14:paraId="4FFDFD1D" w14:textId="77777777" w:rsidR="00DE4760" w:rsidRDefault="00DE4760" w:rsidP="007069DB">
      <w:pPr>
        <w:spacing w:before="120" w:after="60"/>
        <w:rPr>
          <w:rFonts w:ascii="Arial" w:hAnsi="Arial" w:cs="Arial"/>
          <w:b/>
          <w:sz w:val="28"/>
          <w:szCs w:val="28"/>
        </w:rPr>
      </w:pPr>
    </w:p>
    <w:p w14:paraId="4FFDFD1E" w14:textId="77777777" w:rsidR="00DE4760" w:rsidRDefault="00DE4760" w:rsidP="007069DB">
      <w:pPr>
        <w:spacing w:before="120" w:after="60"/>
        <w:rPr>
          <w:rFonts w:ascii="Arial" w:hAnsi="Arial" w:cs="Arial"/>
          <w:b/>
          <w:sz w:val="28"/>
          <w:szCs w:val="28"/>
        </w:rPr>
      </w:pPr>
    </w:p>
    <w:p w14:paraId="4FFDFD1F" w14:textId="77777777" w:rsidR="007069DB" w:rsidRDefault="007069DB" w:rsidP="007069DB">
      <w:pPr>
        <w:spacing w:before="120" w:after="60"/>
        <w:rPr>
          <w:rFonts w:ascii="Arial" w:hAnsi="Arial" w:cs="Arial"/>
          <w:b/>
          <w:sz w:val="28"/>
          <w:szCs w:val="28"/>
        </w:rPr>
      </w:pPr>
    </w:p>
    <w:p w14:paraId="4FFDFD20" w14:textId="72E8412B" w:rsidR="007069DB" w:rsidRDefault="007069DB" w:rsidP="007069DB">
      <w:pPr>
        <w:spacing w:before="120" w:after="60"/>
        <w:jc w:val="center"/>
      </w:pPr>
    </w:p>
    <w:p w14:paraId="4FFDFD21" w14:textId="77777777" w:rsidR="007069DB" w:rsidRDefault="007069DB" w:rsidP="007069DB">
      <w:pPr>
        <w:spacing w:before="120" w:after="60"/>
        <w:jc w:val="center"/>
      </w:pPr>
    </w:p>
    <w:p w14:paraId="4FFDFD22" w14:textId="77777777" w:rsidR="007069DB" w:rsidRDefault="007069DB" w:rsidP="007069DB">
      <w:pPr>
        <w:spacing w:before="120" w:after="60"/>
      </w:pPr>
    </w:p>
    <w:p w14:paraId="4FFDFD23" w14:textId="77777777" w:rsidR="007069DB" w:rsidRDefault="007069DB" w:rsidP="007069DB">
      <w:pPr>
        <w:spacing w:before="120" w:after="60"/>
        <w:rPr>
          <w:rFonts w:ascii="Arial" w:hAnsi="Arial" w:cs="Arial"/>
          <w:b/>
          <w:sz w:val="28"/>
          <w:szCs w:val="28"/>
        </w:rPr>
      </w:pPr>
    </w:p>
    <w:p w14:paraId="4FFDFD24" w14:textId="77777777" w:rsidR="007069DB" w:rsidRDefault="007069DB" w:rsidP="007069DB">
      <w:pPr>
        <w:spacing w:before="120" w:after="60"/>
        <w:rPr>
          <w:rFonts w:ascii="Arial" w:hAnsi="Arial" w:cs="Arial"/>
          <w:b/>
          <w:sz w:val="28"/>
          <w:szCs w:val="28"/>
        </w:rPr>
      </w:pPr>
    </w:p>
    <w:p w14:paraId="4FFDFD25" w14:textId="77777777" w:rsidR="007069DB" w:rsidRDefault="007069DB" w:rsidP="007069DB">
      <w:pPr>
        <w:spacing w:before="120" w:after="60"/>
        <w:rPr>
          <w:rFonts w:ascii="Arial" w:hAnsi="Arial" w:cs="Arial"/>
          <w:b/>
          <w:sz w:val="28"/>
          <w:szCs w:val="28"/>
        </w:rPr>
      </w:pPr>
    </w:p>
    <w:p w14:paraId="4FFDFD26" w14:textId="77777777" w:rsidR="00D17BE6" w:rsidRDefault="00D17BE6" w:rsidP="007069DB">
      <w:pPr>
        <w:spacing w:before="120" w:after="60"/>
        <w:jc w:val="center"/>
        <w:rPr>
          <w:rFonts w:ascii="Arial" w:hAnsi="Arial" w:cs="Arial"/>
          <w:b/>
          <w:sz w:val="28"/>
          <w:szCs w:val="28"/>
        </w:rPr>
        <w:sectPr w:rsidR="00D17BE6" w:rsidSect="00DF153C">
          <w:headerReference w:type="default" r:id="rId13"/>
          <w:footerReference w:type="default" r:id="rId14"/>
          <w:pgSz w:w="12240" w:h="15840" w:code="1"/>
          <w:pgMar w:top="1080" w:right="1080" w:bottom="1080" w:left="1080" w:header="720" w:footer="720" w:gutter="0"/>
          <w:cols w:space="720"/>
          <w:titlePg/>
          <w:docGrid w:linePitch="360"/>
        </w:sectPr>
      </w:pPr>
    </w:p>
    <w:p w14:paraId="4FFDFD27" w14:textId="77777777" w:rsidR="00D17BE6" w:rsidRDefault="00D17BE6" w:rsidP="007069DB">
      <w:pPr>
        <w:spacing w:before="120" w:after="60"/>
        <w:rPr>
          <w:rFonts w:ascii="Arial" w:hAnsi="Arial" w:cs="Arial"/>
          <w:b/>
          <w:sz w:val="28"/>
          <w:szCs w:val="28"/>
        </w:rPr>
      </w:pPr>
    </w:p>
    <w:p w14:paraId="4FFDFD28" w14:textId="77777777" w:rsidR="00D17BE6" w:rsidRDefault="00D17BE6" w:rsidP="007069DB">
      <w:pPr>
        <w:spacing w:before="120" w:after="60"/>
        <w:rPr>
          <w:rFonts w:ascii="Arial" w:hAnsi="Arial" w:cs="Arial"/>
          <w:b/>
          <w:sz w:val="28"/>
          <w:szCs w:val="28"/>
        </w:rPr>
      </w:pPr>
    </w:p>
    <w:p w14:paraId="4FFDFD29" w14:textId="77777777" w:rsidR="00D17BE6" w:rsidRDefault="00D17BE6" w:rsidP="007069DB">
      <w:pPr>
        <w:spacing w:before="120" w:after="60"/>
        <w:rPr>
          <w:rFonts w:ascii="Arial" w:hAnsi="Arial" w:cs="Arial"/>
          <w:b/>
          <w:sz w:val="28"/>
          <w:szCs w:val="28"/>
        </w:rPr>
        <w:sectPr w:rsidR="00D17BE6" w:rsidSect="00DF153C">
          <w:type w:val="continuous"/>
          <w:pgSz w:w="12240" w:h="15840" w:code="1"/>
          <w:pgMar w:top="1080" w:right="1080" w:bottom="1080" w:left="1080" w:header="720" w:footer="720" w:gutter="0"/>
          <w:cols w:space="720"/>
          <w:titlePg/>
          <w:docGrid w:linePitch="360"/>
        </w:sect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7"/>
      </w:tblGrid>
      <w:tr w:rsidR="00A5052C" w14:paraId="4FFDFD2C" w14:textId="77777777" w:rsidTr="009B2C5E">
        <w:tc>
          <w:tcPr>
            <w:tcW w:w="1728" w:type="dxa"/>
          </w:tcPr>
          <w:p w14:paraId="4FFDFD2A" w14:textId="77777777" w:rsidR="00A5052C" w:rsidRDefault="00A5052C" w:rsidP="009B2C5E">
            <w:pPr>
              <w:pStyle w:val="SubTopicLabel"/>
              <w:numPr>
                <w:ilvl w:val="12"/>
                <w:numId w:val="0"/>
              </w:numPr>
            </w:pPr>
            <w:r>
              <w:lastRenderedPageBreak/>
              <w:t>Title</w:t>
            </w:r>
          </w:p>
        </w:tc>
        <w:tc>
          <w:tcPr>
            <w:tcW w:w="7747" w:type="dxa"/>
          </w:tcPr>
          <w:p w14:paraId="4FFDFD2B" w14:textId="77777777" w:rsidR="00A5052C" w:rsidRPr="008C2CC6" w:rsidRDefault="00D75DA7" w:rsidP="00FC1C1F">
            <w:pPr>
              <w:numPr>
                <w:ilvl w:val="12"/>
                <w:numId w:val="0"/>
              </w:numPr>
              <w:rPr>
                <w:smallCaps/>
              </w:rPr>
            </w:pPr>
            <w:r w:rsidRPr="008C2CC6">
              <w:rPr>
                <w:smallCaps/>
              </w:rPr>
              <w:t>C</w:t>
            </w:r>
            <w:r w:rsidR="00FC1C1F">
              <w:rPr>
                <w:smallCaps/>
              </w:rPr>
              <w:t xml:space="preserve">atastrophic Potential </w:t>
            </w:r>
            <w:r w:rsidRPr="008C2CC6">
              <w:rPr>
                <w:smallCaps/>
              </w:rPr>
              <w:t xml:space="preserve"> </w:t>
            </w:r>
            <w:r w:rsidR="004A7AE9">
              <w:rPr>
                <w:smallCaps/>
              </w:rPr>
              <w:t>Hazard</w:t>
            </w:r>
            <w:r w:rsidR="00FC1C1F">
              <w:rPr>
                <w:smallCaps/>
              </w:rPr>
              <w:t>s</w:t>
            </w:r>
            <w:r w:rsidR="004A7AE9">
              <w:rPr>
                <w:smallCaps/>
              </w:rPr>
              <w:t xml:space="preserve"> </w:t>
            </w:r>
            <w:r w:rsidRPr="008C2CC6">
              <w:rPr>
                <w:smallCaps/>
              </w:rPr>
              <w:t xml:space="preserve"> Pro</w:t>
            </w:r>
            <w:r w:rsidR="004A7AE9">
              <w:rPr>
                <w:smallCaps/>
              </w:rPr>
              <w:t>gram</w:t>
            </w:r>
          </w:p>
        </w:tc>
      </w:tr>
    </w:tbl>
    <w:p w14:paraId="4FFDFD2D" w14:textId="77777777" w:rsidR="00A5052C" w:rsidRDefault="00A5052C" w:rsidP="00A5052C">
      <w:pPr>
        <w:pStyle w:val="separator"/>
        <w:pBdr>
          <w:between w:val="single" w:sz="6" w:space="1" w:color="auto"/>
        </w:pBd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7"/>
      </w:tblGrid>
      <w:tr w:rsidR="00A5052C" w14:paraId="4FFDFD30" w14:textId="77777777" w:rsidTr="0032019C">
        <w:tc>
          <w:tcPr>
            <w:tcW w:w="1728" w:type="dxa"/>
          </w:tcPr>
          <w:p w14:paraId="4FFDFD2E" w14:textId="77777777" w:rsidR="00A5052C" w:rsidRDefault="00A5052C" w:rsidP="009B2C5E">
            <w:pPr>
              <w:pStyle w:val="SubTopicLabel"/>
              <w:numPr>
                <w:ilvl w:val="12"/>
                <w:numId w:val="0"/>
              </w:numPr>
            </w:pPr>
            <w:r>
              <w:t>Procedure number</w:t>
            </w:r>
          </w:p>
        </w:tc>
        <w:tc>
          <w:tcPr>
            <w:tcW w:w="7747" w:type="dxa"/>
            <w:vAlign w:val="center"/>
          </w:tcPr>
          <w:p w14:paraId="4FFDFD2F" w14:textId="77777777" w:rsidR="0020296E" w:rsidRPr="0032019C" w:rsidRDefault="00D4519F" w:rsidP="00FC1C1F">
            <w:pPr>
              <w:numPr>
                <w:ilvl w:val="12"/>
                <w:numId w:val="0"/>
              </w:numPr>
            </w:pPr>
            <w:r w:rsidRPr="0032019C">
              <w:t>GPME-SOP</w:t>
            </w:r>
            <w:r w:rsidR="00D75DA7">
              <w:t>-SAF</w:t>
            </w:r>
            <w:r w:rsidRPr="0032019C">
              <w:t>-</w:t>
            </w:r>
            <w:r w:rsidR="00D75DA7">
              <w:t>C</w:t>
            </w:r>
            <w:r w:rsidR="00FC1C1F">
              <w:t>P</w:t>
            </w:r>
            <w:r w:rsidR="004A7AE9">
              <w:t>H</w:t>
            </w:r>
            <w:r w:rsidR="00D75DA7">
              <w:t>P</w:t>
            </w:r>
            <w:r w:rsidRPr="0032019C">
              <w:t>-</w:t>
            </w:r>
            <w:r w:rsidR="00D75DA7">
              <w:t>101</w:t>
            </w:r>
            <w:r w:rsidR="00FC1C1F">
              <w:t>7</w:t>
            </w:r>
          </w:p>
        </w:tc>
      </w:tr>
    </w:tbl>
    <w:p w14:paraId="4FFDFD31" w14:textId="77777777" w:rsidR="00392606" w:rsidRDefault="00392606" w:rsidP="00392606">
      <w:pPr>
        <w:pStyle w:val="separator"/>
        <w:pBdr>
          <w:between w:val="single" w:sz="6" w:space="1" w:color="auto"/>
        </w:pBd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878"/>
        <w:gridCol w:w="8418"/>
      </w:tblGrid>
      <w:tr w:rsidR="00D17BE6" w14:paraId="4FFDFD34" w14:textId="77777777" w:rsidTr="00884897">
        <w:tc>
          <w:tcPr>
            <w:tcW w:w="1728" w:type="dxa"/>
          </w:tcPr>
          <w:p w14:paraId="4FFDFD32" w14:textId="77777777" w:rsidR="00D17BE6" w:rsidRDefault="00D17BE6" w:rsidP="00DC1E45">
            <w:pPr>
              <w:pStyle w:val="SubTopicLabel"/>
            </w:pPr>
            <w:r>
              <w:t>Purpose</w:t>
            </w:r>
          </w:p>
        </w:tc>
        <w:tc>
          <w:tcPr>
            <w:tcW w:w="7747" w:type="dxa"/>
          </w:tcPr>
          <w:p w14:paraId="4FFDFD33" w14:textId="77777777" w:rsidR="00D17BE6" w:rsidRDefault="004A7AE9" w:rsidP="00FC1C1F">
            <w:pPr>
              <w:pStyle w:val="DevMfgNormal"/>
            </w:pPr>
            <w:r>
              <w:t xml:space="preserve">This program identifies requirements that protect </w:t>
            </w:r>
            <w:r w:rsidR="004F57FD">
              <w:t xml:space="preserve">operations and maintenance </w:t>
            </w:r>
            <w:r>
              <w:t>employees</w:t>
            </w:r>
            <w:r w:rsidR="004F57FD">
              <w:t xml:space="preserve"> </w:t>
            </w:r>
            <w:r>
              <w:t>working in</w:t>
            </w:r>
            <w:r w:rsidR="004F57FD">
              <w:t xml:space="preserve"> areas with c</w:t>
            </w:r>
            <w:r w:rsidR="00FC1C1F">
              <w:t>atastrophic potential hazards</w:t>
            </w:r>
            <w:r w:rsidR="00825C79">
              <w:t xml:space="preserve"> (CPH)</w:t>
            </w:r>
            <w:r w:rsidR="00FC1C1F">
              <w:t>.</w:t>
            </w:r>
          </w:p>
        </w:tc>
      </w:tr>
    </w:tbl>
    <w:p w14:paraId="4FFDFD35" w14:textId="77777777" w:rsidR="00D17BE6" w:rsidRDefault="00D17BE6" w:rsidP="00D17BE6">
      <w:pPr>
        <w:pStyle w:val="separator"/>
        <w:pBdr>
          <w:between w:val="single" w:sz="6" w:space="1" w:color="auto"/>
        </w:pBd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878"/>
        <w:gridCol w:w="8418"/>
      </w:tblGrid>
      <w:tr w:rsidR="007B04DC" w14:paraId="4FFDFD3D" w14:textId="77777777" w:rsidTr="00884897">
        <w:tc>
          <w:tcPr>
            <w:tcW w:w="1728" w:type="dxa"/>
          </w:tcPr>
          <w:p w14:paraId="4FFDFD36" w14:textId="77777777" w:rsidR="007B04DC" w:rsidRDefault="007B04DC" w:rsidP="009B2C5E">
            <w:pPr>
              <w:pStyle w:val="SubTopicLabel"/>
            </w:pPr>
            <w:r>
              <w:t>Scope</w:t>
            </w:r>
          </w:p>
        </w:tc>
        <w:tc>
          <w:tcPr>
            <w:tcW w:w="7747" w:type="dxa"/>
          </w:tcPr>
          <w:p w14:paraId="4FFDFD37" w14:textId="77777777" w:rsidR="004A7AE9" w:rsidRDefault="004A7AE9" w:rsidP="004A7AE9">
            <w:pPr>
              <w:spacing w:after="120"/>
              <w:rPr>
                <w:szCs w:val="20"/>
              </w:rPr>
            </w:pPr>
            <w:r>
              <w:rPr>
                <w:szCs w:val="20"/>
              </w:rPr>
              <w:t xml:space="preserve">This program applies </w:t>
            </w:r>
            <w:r w:rsidR="004F57FD">
              <w:rPr>
                <w:szCs w:val="20"/>
              </w:rPr>
              <w:t>to the following groups of employees, who operate or maintain c</w:t>
            </w:r>
            <w:r w:rsidR="00FC1C1F">
              <w:rPr>
                <w:szCs w:val="20"/>
              </w:rPr>
              <w:t>atastrophic potential hazards</w:t>
            </w:r>
            <w:r w:rsidR="004F57FD">
              <w:rPr>
                <w:szCs w:val="20"/>
              </w:rPr>
              <w:t xml:space="preserve"> processes</w:t>
            </w:r>
            <w:r>
              <w:rPr>
                <w:szCs w:val="20"/>
              </w:rPr>
              <w:t>;</w:t>
            </w:r>
          </w:p>
          <w:p w14:paraId="4FFDFD38" w14:textId="3FE33D05" w:rsidR="004A7AE9" w:rsidRDefault="00831F53" w:rsidP="00B315FF">
            <w:pPr>
              <w:pStyle w:val="ListParagraph"/>
              <w:numPr>
                <w:ilvl w:val="0"/>
                <w:numId w:val="18"/>
              </w:numPr>
              <w:spacing w:after="120"/>
              <w:ind w:left="612"/>
              <w:rPr>
                <w:szCs w:val="20"/>
              </w:rPr>
            </w:pPr>
            <w:r>
              <w:rPr>
                <w:szCs w:val="20"/>
              </w:rPr>
              <w:t xml:space="preserve">Lilly site </w:t>
            </w:r>
            <w:r w:rsidR="004A7AE9" w:rsidRPr="004A7AE9">
              <w:rPr>
                <w:szCs w:val="20"/>
              </w:rPr>
              <w:t>employees</w:t>
            </w:r>
          </w:p>
          <w:p w14:paraId="4FFDFD39" w14:textId="08E47BE8" w:rsidR="004F57FD" w:rsidRDefault="004A7AE9" w:rsidP="00B315FF">
            <w:pPr>
              <w:pStyle w:val="ListParagraph"/>
              <w:numPr>
                <w:ilvl w:val="0"/>
                <w:numId w:val="18"/>
              </w:numPr>
              <w:spacing w:after="120"/>
              <w:ind w:left="612"/>
              <w:rPr>
                <w:szCs w:val="20"/>
              </w:rPr>
            </w:pPr>
            <w:r>
              <w:rPr>
                <w:szCs w:val="20"/>
              </w:rPr>
              <w:t>Integrated Facilities Management Provider (</w:t>
            </w:r>
            <w:r w:rsidR="00831F53">
              <w:rPr>
                <w:szCs w:val="20"/>
              </w:rPr>
              <w:t>IFM</w:t>
            </w:r>
            <w:r>
              <w:rPr>
                <w:szCs w:val="20"/>
              </w:rPr>
              <w:t>P) employees</w:t>
            </w:r>
          </w:p>
          <w:p w14:paraId="4FFDFD3A" w14:textId="77777777" w:rsidR="004F57FD" w:rsidRDefault="004F57FD" w:rsidP="00B315FF">
            <w:pPr>
              <w:pStyle w:val="ListParagraph"/>
              <w:numPr>
                <w:ilvl w:val="0"/>
                <w:numId w:val="18"/>
              </w:numPr>
              <w:spacing w:after="120"/>
              <w:ind w:left="612"/>
              <w:rPr>
                <w:szCs w:val="20"/>
              </w:rPr>
            </w:pPr>
            <w:r>
              <w:rPr>
                <w:szCs w:val="20"/>
              </w:rPr>
              <w:t>C</w:t>
            </w:r>
            <w:r w:rsidR="004A7AE9" w:rsidRPr="004A7AE9">
              <w:rPr>
                <w:szCs w:val="20"/>
              </w:rPr>
              <w:t>ontract</w:t>
            </w:r>
            <w:r>
              <w:rPr>
                <w:szCs w:val="20"/>
              </w:rPr>
              <w:t xml:space="preserve"> firms supervised by Lilly personnel on a daily basis (Temporary (D62) Contract Workers)</w:t>
            </w:r>
          </w:p>
          <w:p w14:paraId="4FFDFD3B" w14:textId="77777777" w:rsidR="004F57FD" w:rsidRDefault="004F57FD" w:rsidP="00B315FF">
            <w:pPr>
              <w:pStyle w:val="ListParagraph"/>
              <w:numPr>
                <w:ilvl w:val="0"/>
                <w:numId w:val="18"/>
              </w:numPr>
              <w:spacing w:after="120"/>
              <w:ind w:left="612"/>
              <w:rPr>
                <w:szCs w:val="20"/>
              </w:rPr>
            </w:pPr>
            <w:r>
              <w:rPr>
                <w:szCs w:val="20"/>
              </w:rPr>
              <w:t>Outsourced (D63) contractors</w:t>
            </w:r>
          </w:p>
          <w:p w14:paraId="4FFDFD3C" w14:textId="77777777" w:rsidR="007B04DC" w:rsidRPr="004A7AE9" w:rsidRDefault="004F57FD" w:rsidP="00B315FF">
            <w:pPr>
              <w:pStyle w:val="ListParagraph"/>
              <w:numPr>
                <w:ilvl w:val="0"/>
                <w:numId w:val="18"/>
              </w:numPr>
              <w:spacing w:after="120"/>
              <w:ind w:left="612"/>
              <w:rPr>
                <w:szCs w:val="20"/>
              </w:rPr>
            </w:pPr>
            <w:r>
              <w:rPr>
                <w:szCs w:val="20"/>
              </w:rPr>
              <w:t>Independent (D61) contractors</w:t>
            </w:r>
            <w:r w:rsidR="004A7AE9" w:rsidRPr="004A7AE9">
              <w:rPr>
                <w:szCs w:val="20"/>
              </w:rPr>
              <w:t xml:space="preserve">. </w:t>
            </w:r>
          </w:p>
        </w:tc>
      </w:tr>
    </w:tbl>
    <w:p w14:paraId="4FFDFD3E" w14:textId="77777777" w:rsidR="007B04DC" w:rsidRDefault="007B04DC" w:rsidP="007B04DC">
      <w:pPr>
        <w:pStyle w:val="separator"/>
        <w:pBdr>
          <w:between w:val="single" w:sz="6" w:space="1" w:color="auto"/>
        </w:pBd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878"/>
        <w:gridCol w:w="8418"/>
      </w:tblGrid>
      <w:tr w:rsidR="00D17BE6" w14:paraId="4FFDFD41" w14:textId="77777777" w:rsidTr="00884897">
        <w:tc>
          <w:tcPr>
            <w:tcW w:w="1728" w:type="dxa"/>
          </w:tcPr>
          <w:p w14:paraId="4FFDFD3F" w14:textId="77777777" w:rsidR="00D17BE6" w:rsidRDefault="00A5052C" w:rsidP="00DC1E45">
            <w:pPr>
              <w:pStyle w:val="SubTopicLabel"/>
              <w:numPr>
                <w:ilvl w:val="12"/>
                <w:numId w:val="0"/>
              </w:numPr>
            </w:pPr>
            <w:r>
              <w:t>Areas impact</w:t>
            </w:r>
            <w:r w:rsidR="00D17BE6">
              <w:t>ed</w:t>
            </w:r>
          </w:p>
        </w:tc>
        <w:tc>
          <w:tcPr>
            <w:tcW w:w="7747" w:type="dxa"/>
          </w:tcPr>
          <w:p w14:paraId="4FFDFD40" w14:textId="7BD2321B" w:rsidR="00D17BE6" w:rsidRDefault="00F155DF" w:rsidP="00831F53">
            <w:pPr>
              <w:numPr>
                <w:ilvl w:val="12"/>
                <w:numId w:val="0"/>
              </w:numPr>
              <w:spacing w:after="120"/>
              <w:rPr>
                <w:szCs w:val="20"/>
              </w:rPr>
            </w:pPr>
            <w:r>
              <w:rPr>
                <w:bCs/>
              </w:rPr>
              <w:t xml:space="preserve">This program covers all </w:t>
            </w:r>
            <w:r w:rsidR="00831F53">
              <w:rPr>
                <w:bCs/>
              </w:rPr>
              <w:t>site</w:t>
            </w:r>
            <w:r>
              <w:rPr>
                <w:bCs/>
              </w:rPr>
              <w:t xml:space="preserve"> facilities</w:t>
            </w:r>
            <w:r w:rsidR="00831F53">
              <w:rPr>
                <w:bCs/>
              </w:rPr>
              <w:t>.</w:t>
            </w:r>
          </w:p>
        </w:tc>
      </w:tr>
    </w:tbl>
    <w:p w14:paraId="4FFDFD42" w14:textId="77777777" w:rsidR="00D17BE6" w:rsidRDefault="00D17BE6" w:rsidP="00D17BE6">
      <w:pPr>
        <w:pStyle w:val="separator"/>
        <w:pBdr>
          <w:between w:val="single" w:sz="6" w:space="1" w:color="auto"/>
        </w:pBd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8550"/>
      </w:tblGrid>
      <w:tr w:rsidR="00D17BE6" w14:paraId="4FFDFD47" w14:textId="77777777" w:rsidTr="004E65CB">
        <w:tc>
          <w:tcPr>
            <w:tcW w:w="1728" w:type="dxa"/>
          </w:tcPr>
          <w:p w14:paraId="4FFDFD43" w14:textId="77777777" w:rsidR="00D17BE6" w:rsidRDefault="00797421" w:rsidP="00DC1E45">
            <w:pPr>
              <w:pStyle w:val="SubTopicLabel"/>
              <w:numPr>
                <w:ilvl w:val="12"/>
                <w:numId w:val="0"/>
              </w:numPr>
            </w:pPr>
            <w:r>
              <w:t>Reason for Revision</w:t>
            </w:r>
          </w:p>
        </w:tc>
        <w:tc>
          <w:tcPr>
            <w:tcW w:w="8550" w:type="dxa"/>
          </w:tcPr>
          <w:p w14:paraId="4FFDFD44" w14:textId="77777777" w:rsidR="00D17BE6" w:rsidRDefault="0023502B" w:rsidP="00DC1E45">
            <w:r>
              <w:t>This document has been revised for:</w:t>
            </w:r>
          </w:p>
          <w:p w14:paraId="4FFDFD45" w14:textId="77777777" w:rsidR="00D066BA" w:rsidRDefault="00D066BA" w:rsidP="004E65CB">
            <w:pPr>
              <w:numPr>
                <w:ilvl w:val="0"/>
                <w:numId w:val="9"/>
              </w:numPr>
              <w:tabs>
                <w:tab w:val="clear" w:pos="1440"/>
              </w:tabs>
              <w:ind w:left="432"/>
            </w:pPr>
            <w:r>
              <w:t>Section 1.4: Add Qualitative Risk Evaluation</w:t>
            </w:r>
          </w:p>
          <w:p w14:paraId="4FFDFD46" w14:textId="77777777" w:rsidR="00CE5663" w:rsidRDefault="004E65CB" w:rsidP="004E65CB">
            <w:pPr>
              <w:numPr>
                <w:ilvl w:val="0"/>
                <w:numId w:val="9"/>
              </w:numPr>
              <w:tabs>
                <w:tab w:val="clear" w:pos="1440"/>
              </w:tabs>
              <w:ind w:left="432"/>
            </w:pPr>
            <w:r>
              <w:t xml:space="preserve">Section 2.5 and 4.2: For CPH assessment, use </w:t>
            </w:r>
            <w:r w:rsidR="00EA1681">
              <w:t>G</w:t>
            </w:r>
            <w:r>
              <w:t>uideline and tools to track action plans.</w:t>
            </w:r>
          </w:p>
        </w:tc>
      </w:tr>
    </w:tbl>
    <w:p w14:paraId="4FFDFD48" w14:textId="77777777" w:rsidR="00D17BE6" w:rsidRDefault="00D17BE6" w:rsidP="00D17BE6">
      <w:pPr>
        <w:pStyle w:val="separator"/>
        <w:pBdr>
          <w:between w:val="single" w:sz="6" w:space="1" w:color="auto"/>
        </w:pBd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8550"/>
      </w:tblGrid>
      <w:tr w:rsidR="00B93BD4" w14:paraId="4FFDFD4D" w14:textId="77777777" w:rsidTr="004E65CB">
        <w:tc>
          <w:tcPr>
            <w:tcW w:w="1728" w:type="dxa"/>
          </w:tcPr>
          <w:p w14:paraId="4FFDFD49" w14:textId="77777777" w:rsidR="00B93BD4" w:rsidRDefault="00B93BD4" w:rsidP="000B1CD4">
            <w:pPr>
              <w:pStyle w:val="SubTopicLabel"/>
              <w:numPr>
                <w:ilvl w:val="12"/>
                <w:numId w:val="0"/>
              </w:numPr>
            </w:pPr>
            <w:r>
              <w:t>Acronyms</w:t>
            </w:r>
          </w:p>
        </w:tc>
        <w:tc>
          <w:tcPr>
            <w:tcW w:w="8550" w:type="dxa"/>
          </w:tcPr>
          <w:p w14:paraId="4FFDFD4A" w14:textId="77777777" w:rsidR="00F72FB0" w:rsidRDefault="00F72FB0" w:rsidP="00F72FB0">
            <w:r>
              <w:t>Terms specific to this document:</w:t>
            </w:r>
          </w:p>
          <w:p w14:paraId="4FFDFD4B" w14:textId="77777777" w:rsidR="00F72FB0" w:rsidRDefault="00182F26" w:rsidP="00F72FB0">
            <w:pPr>
              <w:numPr>
                <w:ilvl w:val="0"/>
                <w:numId w:val="9"/>
              </w:numPr>
              <w:tabs>
                <w:tab w:val="clear" w:pos="1440"/>
              </w:tabs>
              <w:ind w:left="432"/>
            </w:pPr>
            <w:r>
              <w:t xml:space="preserve">OHS – Occupational </w:t>
            </w:r>
            <w:r w:rsidR="00F72FB0">
              <w:t>Health and Safety</w:t>
            </w:r>
          </w:p>
          <w:p w14:paraId="4FFDFD4C" w14:textId="77777777" w:rsidR="00B93BD4" w:rsidRDefault="00F72FB0" w:rsidP="00F72FB0">
            <w:pPr>
              <w:numPr>
                <w:ilvl w:val="0"/>
                <w:numId w:val="9"/>
              </w:numPr>
              <w:tabs>
                <w:tab w:val="clear" w:pos="1440"/>
              </w:tabs>
              <w:ind w:left="432"/>
            </w:pPr>
            <w:r>
              <w:t>OSHA – Occupational Safety and Health Administration</w:t>
            </w:r>
          </w:p>
        </w:tc>
      </w:tr>
    </w:tbl>
    <w:p w14:paraId="4FFDFD4E" w14:textId="77777777" w:rsidR="00B93BD4" w:rsidRDefault="00B93BD4" w:rsidP="00B93BD4">
      <w:pPr>
        <w:pStyle w:val="separator"/>
        <w:pBdr>
          <w:between w:val="single" w:sz="6" w:space="1" w:color="auto"/>
        </w:pBdr>
      </w:pPr>
    </w:p>
    <w:p w14:paraId="4FFDFD4F" w14:textId="77777777" w:rsidR="00F155DF" w:rsidRPr="00F155DF" w:rsidRDefault="00F155DF" w:rsidP="007069DB">
      <w:pPr>
        <w:spacing w:before="120" w:after="60"/>
        <w:rPr>
          <w:rFonts w:ascii="Arial" w:hAnsi="Arial" w:cs="Arial"/>
          <w:b/>
          <w:sz w:val="20"/>
          <w:szCs w:val="20"/>
        </w:rPr>
        <w:sectPr w:rsidR="00F155DF" w:rsidRPr="00F155DF" w:rsidSect="00DF153C">
          <w:pgSz w:w="12240" w:h="15840" w:code="1"/>
          <w:pgMar w:top="1080" w:right="1080" w:bottom="1080" w:left="1080" w:header="720" w:footer="720" w:gutter="0"/>
          <w:cols w:space="720"/>
          <w:docGrid w:linePitch="360"/>
        </w:sectPr>
      </w:pPr>
    </w:p>
    <w:p w14:paraId="4FFDFD50" w14:textId="77777777" w:rsidR="007069DB" w:rsidRPr="00304946" w:rsidRDefault="007069DB" w:rsidP="007069DB">
      <w:pPr>
        <w:spacing w:before="120" w:after="60"/>
        <w:rPr>
          <w:rFonts w:ascii="Arial" w:hAnsi="Arial" w:cs="Arial"/>
          <w:b/>
          <w:sz w:val="28"/>
          <w:szCs w:val="28"/>
        </w:rPr>
      </w:pPr>
      <w:r w:rsidRPr="00304946">
        <w:rPr>
          <w:rFonts w:ascii="Arial" w:hAnsi="Arial" w:cs="Arial"/>
          <w:b/>
          <w:sz w:val="28"/>
          <w:szCs w:val="28"/>
        </w:rPr>
        <w:lastRenderedPageBreak/>
        <w:t>Table of Contents</w:t>
      </w:r>
    </w:p>
    <w:p w14:paraId="4FFDFD51" w14:textId="77777777" w:rsidR="007069DB" w:rsidRDefault="00E606BA" w:rsidP="007069DB">
      <w:r>
        <w:t>The following infor</w:t>
      </w:r>
      <w:r w:rsidR="00563798">
        <w:t>m</w:t>
      </w:r>
      <w:r w:rsidR="007069DB" w:rsidRPr="00304946">
        <w:t>ation is presented in this document</w:t>
      </w:r>
      <w:r w:rsidR="007069DB">
        <w:t xml:space="preserve"> (ctrl+click for link)</w:t>
      </w:r>
      <w:r w:rsidR="007069DB" w:rsidRPr="00304946">
        <w:t>:</w:t>
      </w:r>
    </w:p>
    <w:p w14:paraId="4FFDFD52" w14:textId="77777777" w:rsidR="00563798" w:rsidRDefault="00563798" w:rsidP="007069DB"/>
    <w:p w14:paraId="4FFDFD53" w14:textId="77777777" w:rsidR="00B1530C" w:rsidRDefault="00457CE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 w:rsidR="00D25307">
        <w:instrText xml:space="preserve"> TOC \o "3-3" \h \z \t "Heading 1,1,Heading 2,1,Heading 1 Italic Underline,1" </w:instrText>
      </w:r>
      <w:r>
        <w:fldChar w:fldCharType="separate"/>
      </w:r>
      <w:hyperlink w:anchor="_Toc350753839" w:history="1">
        <w:r w:rsidR="00B1530C" w:rsidRPr="00366A4D">
          <w:rPr>
            <w:rStyle w:val="Hyperlink"/>
            <w:noProof/>
          </w:rPr>
          <w:t>Definitions</w:t>
        </w:r>
        <w:r w:rsidR="00B1530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1530C">
          <w:rPr>
            <w:noProof/>
            <w:webHidden/>
          </w:rPr>
          <w:instrText xml:space="preserve"> PAGEREF _Toc350753839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B45D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FFDFD54" w14:textId="77777777" w:rsidR="00B1530C" w:rsidRDefault="004A108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50753840" w:history="1">
        <w:r w:rsidR="00B1530C" w:rsidRPr="00366A4D">
          <w:rPr>
            <w:rStyle w:val="Hyperlink"/>
            <w:noProof/>
          </w:rPr>
          <w:t>1.</w:t>
        </w:r>
        <w:r w:rsidR="00B153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1530C" w:rsidRPr="00366A4D">
          <w:rPr>
            <w:rStyle w:val="Hyperlink"/>
            <w:noProof/>
          </w:rPr>
          <w:t>APPLICABILITY</w:t>
        </w:r>
        <w:r w:rsidR="00B1530C">
          <w:rPr>
            <w:noProof/>
            <w:webHidden/>
          </w:rPr>
          <w:tab/>
        </w:r>
        <w:r w:rsidR="00457CE4">
          <w:rPr>
            <w:noProof/>
            <w:webHidden/>
          </w:rPr>
          <w:fldChar w:fldCharType="begin"/>
        </w:r>
        <w:r w:rsidR="00B1530C">
          <w:rPr>
            <w:noProof/>
            <w:webHidden/>
          </w:rPr>
          <w:instrText xml:space="preserve"> PAGEREF _Toc350753840 \h </w:instrText>
        </w:r>
        <w:r w:rsidR="00457CE4">
          <w:rPr>
            <w:noProof/>
            <w:webHidden/>
          </w:rPr>
        </w:r>
        <w:r w:rsidR="00457CE4">
          <w:rPr>
            <w:noProof/>
            <w:webHidden/>
          </w:rPr>
          <w:fldChar w:fldCharType="separate"/>
        </w:r>
        <w:r w:rsidR="00DB45DC">
          <w:rPr>
            <w:noProof/>
            <w:webHidden/>
          </w:rPr>
          <w:t>4</w:t>
        </w:r>
        <w:r w:rsidR="00457CE4">
          <w:rPr>
            <w:noProof/>
            <w:webHidden/>
          </w:rPr>
          <w:fldChar w:fldCharType="end"/>
        </w:r>
      </w:hyperlink>
    </w:p>
    <w:p w14:paraId="4FFDFD55" w14:textId="77777777" w:rsidR="00B1530C" w:rsidRDefault="004A108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50753841" w:history="1">
        <w:r w:rsidR="00B1530C" w:rsidRPr="00366A4D">
          <w:rPr>
            <w:rStyle w:val="Hyperlink"/>
            <w:noProof/>
          </w:rPr>
          <w:t>2.</w:t>
        </w:r>
        <w:r w:rsidR="00B153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1530C" w:rsidRPr="00366A4D">
          <w:rPr>
            <w:rStyle w:val="Hyperlink"/>
            <w:noProof/>
          </w:rPr>
          <w:t>CPH Assessment</w:t>
        </w:r>
        <w:r w:rsidR="00B1530C">
          <w:rPr>
            <w:noProof/>
            <w:webHidden/>
          </w:rPr>
          <w:tab/>
        </w:r>
        <w:r w:rsidR="00457CE4">
          <w:rPr>
            <w:noProof/>
            <w:webHidden/>
          </w:rPr>
          <w:fldChar w:fldCharType="begin"/>
        </w:r>
        <w:r w:rsidR="00B1530C">
          <w:rPr>
            <w:noProof/>
            <w:webHidden/>
          </w:rPr>
          <w:instrText xml:space="preserve"> PAGEREF _Toc350753841 \h </w:instrText>
        </w:r>
        <w:r w:rsidR="00457CE4">
          <w:rPr>
            <w:noProof/>
            <w:webHidden/>
          </w:rPr>
        </w:r>
        <w:r w:rsidR="00457CE4">
          <w:rPr>
            <w:noProof/>
            <w:webHidden/>
          </w:rPr>
          <w:fldChar w:fldCharType="separate"/>
        </w:r>
        <w:r w:rsidR="00DB45DC">
          <w:rPr>
            <w:noProof/>
            <w:webHidden/>
          </w:rPr>
          <w:t>4</w:t>
        </w:r>
        <w:r w:rsidR="00457CE4">
          <w:rPr>
            <w:noProof/>
            <w:webHidden/>
          </w:rPr>
          <w:fldChar w:fldCharType="end"/>
        </w:r>
      </w:hyperlink>
    </w:p>
    <w:p w14:paraId="4FFDFD56" w14:textId="77777777" w:rsidR="00B1530C" w:rsidRDefault="004A108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50753842" w:history="1">
        <w:r w:rsidR="00B1530C" w:rsidRPr="00366A4D">
          <w:rPr>
            <w:rStyle w:val="Hyperlink"/>
            <w:noProof/>
          </w:rPr>
          <w:t>3.</w:t>
        </w:r>
        <w:r w:rsidR="00B153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1530C" w:rsidRPr="00366A4D">
          <w:rPr>
            <w:rStyle w:val="Hyperlink"/>
            <w:noProof/>
          </w:rPr>
          <w:t>Training and Procedures</w:t>
        </w:r>
        <w:r w:rsidR="00B1530C">
          <w:rPr>
            <w:noProof/>
            <w:webHidden/>
          </w:rPr>
          <w:tab/>
        </w:r>
        <w:r w:rsidR="00457CE4">
          <w:rPr>
            <w:noProof/>
            <w:webHidden/>
          </w:rPr>
          <w:fldChar w:fldCharType="begin"/>
        </w:r>
        <w:r w:rsidR="00B1530C">
          <w:rPr>
            <w:noProof/>
            <w:webHidden/>
          </w:rPr>
          <w:instrText xml:space="preserve"> PAGEREF _Toc350753842 \h </w:instrText>
        </w:r>
        <w:r w:rsidR="00457CE4">
          <w:rPr>
            <w:noProof/>
            <w:webHidden/>
          </w:rPr>
        </w:r>
        <w:r w:rsidR="00457CE4">
          <w:rPr>
            <w:noProof/>
            <w:webHidden/>
          </w:rPr>
          <w:fldChar w:fldCharType="separate"/>
        </w:r>
        <w:r w:rsidR="00DB45DC">
          <w:rPr>
            <w:noProof/>
            <w:webHidden/>
          </w:rPr>
          <w:t>5</w:t>
        </w:r>
        <w:r w:rsidR="00457CE4">
          <w:rPr>
            <w:noProof/>
            <w:webHidden/>
          </w:rPr>
          <w:fldChar w:fldCharType="end"/>
        </w:r>
      </w:hyperlink>
    </w:p>
    <w:p w14:paraId="4FFDFD57" w14:textId="77777777" w:rsidR="00B1530C" w:rsidRDefault="004A108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50753843" w:history="1">
        <w:r w:rsidR="00B1530C" w:rsidRPr="00366A4D">
          <w:rPr>
            <w:rStyle w:val="Hyperlink"/>
            <w:noProof/>
          </w:rPr>
          <w:t>4.</w:t>
        </w:r>
        <w:r w:rsidR="00B153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1530C" w:rsidRPr="00366A4D">
          <w:rPr>
            <w:rStyle w:val="Hyperlink"/>
            <w:noProof/>
          </w:rPr>
          <w:t>Maintenance Strategy</w:t>
        </w:r>
        <w:r w:rsidR="00B1530C">
          <w:rPr>
            <w:noProof/>
            <w:webHidden/>
          </w:rPr>
          <w:tab/>
        </w:r>
        <w:r w:rsidR="00457CE4">
          <w:rPr>
            <w:noProof/>
            <w:webHidden/>
          </w:rPr>
          <w:fldChar w:fldCharType="begin"/>
        </w:r>
        <w:r w:rsidR="00B1530C">
          <w:rPr>
            <w:noProof/>
            <w:webHidden/>
          </w:rPr>
          <w:instrText xml:space="preserve"> PAGEREF _Toc350753843 \h </w:instrText>
        </w:r>
        <w:r w:rsidR="00457CE4">
          <w:rPr>
            <w:noProof/>
            <w:webHidden/>
          </w:rPr>
        </w:r>
        <w:r w:rsidR="00457CE4">
          <w:rPr>
            <w:noProof/>
            <w:webHidden/>
          </w:rPr>
          <w:fldChar w:fldCharType="separate"/>
        </w:r>
        <w:r w:rsidR="00DB45DC">
          <w:rPr>
            <w:noProof/>
            <w:webHidden/>
          </w:rPr>
          <w:t>5</w:t>
        </w:r>
        <w:r w:rsidR="00457CE4">
          <w:rPr>
            <w:noProof/>
            <w:webHidden/>
          </w:rPr>
          <w:fldChar w:fldCharType="end"/>
        </w:r>
      </w:hyperlink>
    </w:p>
    <w:p w14:paraId="4FFDFD58" w14:textId="77777777" w:rsidR="00B1530C" w:rsidRDefault="004A108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50753844" w:history="1">
        <w:r w:rsidR="00B1530C" w:rsidRPr="00366A4D">
          <w:rPr>
            <w:rStyle w:val="Hyperlink"/>
            <w:noProof/>
          </w:rPr>
          <w:t>5.</w:t>
        </w:r>
        <w:r w:rsidR="00B153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1530C" w:rsidRPr="00366A4D">
          <w:rPr>
            <w:rStyle w:val="Hyperlink"/>
            <w:noProof/>
          </w:rPr>
          <w:t>changes in CPH processes</w:t>
        </w:r>
        <w:r w:rsidR="00B1530C">
          <w:rPr>
            <w:noProof/>
            <w:webHidden/>
          </w:rPr>
          <w:tab/>
        </w:r>
        <w:r w:rsidR="00457CE4">
          <w:rPr>
            <w:noProof/>
            <w:webHidden/>
          </w:rPr>
          <w:fldChar w:fldCharType="begin"/>
        </w:r>
        <w:r w:rsidR="00B1530C">
          <w:rPr>
            <w:noProof/>
            <w:webHidden/>
          </w:rPr>
          <w:instrText xml:space="preserve"> PAGEREF _Toc350753844 \h </w:instrText>
        </w:r>
        <w:r w:rsidR="00457CE4">
          <w:rPr>
            <w:noProof/>
            <w:webHidden/>
          </w:rPr>
        </w:r>
        <w:r w:rsidR="00457CE4">
          <w:rPr>
            <w:noProof/>
            <w:webHidden/>
          </w:rPr>
          <w:fldChar w:fldCharType="separate"/>
        </w:r>
        <w:r w:rsidR="00DB45DC">
          <w:rPr>
            <w:noProof/>
            <w:webHidden/>
          </w:rPr>
          <w:t>5</w:t>
        </w:r>
        <w:r w:rsidR="00457CE4">
          <w:rPr>
            <w:noProof/>
            <w:webHidden/>
          </w:rPr>
          <w:fldChar w:fldCharType="end"/>
        </w:r>
      </w:hyperlink>
    </w:p>
    <w:p w14:paraId="4FFDFD59" w14:textId="77777777" w:rsidR="00B1530C" w:rsidRDefault="004A108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50753845" w:history="1">
        <w:r w:rsidR="00B1530C" w:rsidRPr="00366A4D">
          <w:rPr>
            <w:rStyle w:val="Hyperlink"/>
            <w:noProof/>
          </w:rPr>
          <w:t>6.</w:t>
        </w:r>
        <w:r w:rsidR="00B153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1530C" w:rsidRPr="00366A4D">
          <w:rPr>
            <w:rStyle w:val="Hyperlink"/>
            <w:noProof/>
          </w:rPr>
          <w:t>cPH Processes and investigations</w:t>
        </w:r>
        <w:r w:rsidR="00B1530C">
          <w:rPr>
            <w:noProof/>
            <w:webHidden/>
          </w:rPr>
          <w:tab/>
        </w:r>
        <w:r w:rsidR="00457CE4">
          <w:rPr>
            <w:noProof/>
            <w:webHidden/>
          </w:rPr>
          <w:fldChar w:fldCharType="begin"/>
        </w:r>
        <w:r w:rsidR="00B1530C">
          <w:rPr>
            <w:noProof/>
            <w:webHidden/>
          </w:rPr>
          <w:instrText xml:space="preserve"> PAGEREF _Toc350753845 \h </w:instrText>
        </w:r>
        <w:r w:rsidR="00457CE4">
          <w:rPr>
            <w:noProof/>
            <w:webHidden/>
          </w:rPr>
        </w:r>
        <w:r w:rsidR="00457CE4">
          <w:rPr>
            <w:noProof/>
            <w:webHidden/>
          </w:rPr>
          <w:fldChar w:fldCharType="separate"/>
        </w:r>
        <w:r w:rsidR="00DB45DC">
          <w:rPr>
            <w:noProof/>
            <w:webHidden/>
          </w:rPr>
          <w:t>5</w:t>
        </w:r>
        <w:r w:rsidR="00457CE4">
          <w:rPr>
            <w:noProof/>
            <w:webHidden/>
          </w:rPr>
          <w:fldChar w:fldCharType="end"/>
        </w:r>
      </w:hyperlink>
    </w:p>
    <w:p w14:paraId="4FFDFD5A" w14:textId="77777777" w:rsidR="00B1530C" w:rsidRDefault="004A108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50753846" w:history="1">
        <w:r w:rsidR="00B1530C" w:rsidRPr="00366A4D">
          <w:rPr>
            <w:rStyle w:val="Hyperlink"/>
            <w:noProof/>
          </w:rPr>
          <w:t>References and Approvals</w:t>
        </w:r>
        <w:r w:rsidR="00B1530C">
          <w:rPr>
            <w:noProof/>
            <w:webHidden/>
          </w:rPr>
          <w:tab/>
        </w:r>
        <w:r w:rsidR="00457CE4">
          <w:rPr>
            <w:noProof/>
            <w:webHidden/>
          </w:rPr>
          <w:fldChar w:fldCharType="begin"/>
        </w:r>
        <w:r w:rsidR="00B1530C">
          <w:rPr>
            <w:noProof/>
            <w:webHidden/>
          </w:rPr>
          <w:instrText xml:space="preserve"> PAGEREF _Toc350753846 \h </w:instrText>
        </w:r>
        <w:r w:rsidR="00457CE4">
          <w:rPr>
            <w:noProof/>
            <w:webHidden/>
          </w:rPr>
        </w:r>
        <w:r w:rsidR="00457CE4">
          <w:rPr>
            <w:noProof/>
            <w:webHidden/>
          </w:rPr>
          <w:fldChar w:fldCharType="separate"/>
        </w:r>
        <w:r w:rsidR="00DB45DC">
          <w:rPr>
            <w:noProof/>
            <w:webHidden/>
          </w:rPr>
          <w:t>7</w:t>
        </w:r>
        <w:r w:rsidR="00457CE4">
          <w:rPr>
            <w:noProof/>
            <w:webHidden/>
          </w:rPr>
          <w:fldChar w:fldCharType="end"/>
        </w:r>
      </w:hyperlink>
    </w:p>
    <w:p w14:paraId="4FFDFD5B" w14:textId="77777777" w:rsidR="00563798" w:rsidRDefault="00457CE4" w:rsidP="007069DB">
      <w:r>
        <w:rPr>
          <w:sz w:val="20"/>
          <w:szCs w:val="20"/>
        </w:rPr>
        <w:fldChar w:fldCharType="end"/>
      </w:r>
    </w:p>
    <w:p w14:paraId="4FFDFD5C" w14:textId="77777777" w:rsidR="00563798" w:rsidRDefault="00563798" w:rsidP="007069DB"/>
    <w:p w14:paraId="4FFDFD5D" w14:textId="77777777" w:rsidR="00C0481E" w:rsidRDefault="00AA305F" w:rsidP="00AA305F">
      <w:pPr>
        <w:pStyle w:val="Heading1"/>
      </w:pPr>
      <w:bookmarkStart w:id="3" w:name="_Toc350753839"/>
      <w:r>
        <w:t>Definitions</w:t>
      </w:r>
      <w:bookmarkEnd w:id="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636"/>
        <w:gridCol w:w="7674"/>
      </w:tblGrid>
      <w:tr w:rsidR="00997FC5" w14:paraId="4FFDFD60" w14:textId="77777777" w:rsidTr="0076018B">
        <w:tc>
          <w:tcPr>
            <w:tcW w:w="2636" w:type="dxa"/>
          </w:tcPr>
          <w:p w14:paraId="4FFDFD5E" w14:textId="77777777" w:rsidR="00997FC5" w:rsidRDefault="0076018B" w:rsidP="000B1CD4">
            <w:r>
              <w:t>Catastrophic Consequences</w:t>
            </w:r>
          </w:p>
        </w:tc>
        <w:tc>
          <w:tcPr>
            <w:tcW w:w="7674" w:type="dxa"/>
          </w:tcPr>
          <w:p w14:paraId="4FFDFD5F" w14:textId="77777777" w:rsidR="00997FC5" w:rsidRDefault="0076018B" w:rsidP="0076018B">
            <w:r w:rsidRPr="0076018B">
              <w:rPr>
                <w:bCs/>
                <w:iCs/>
              </w:rPr>
              <w:t>The potential harm to people, property, community, or the environment that includes death, permanent disabling injuries, significant physical damage, huge economic loss, or severe long-term effects caused by the loss of containment of highly hazardous chemicals/materials from a process or from natural disasters.</w:t>
            </w:r>
          </w:p>
        </w:tc>
      </w:tr>
      <w:tr w:rsidR="0076018B" w14:paraId="4FFDFD63" w14:textId="77777777" w:rsidTr="0076018B">
        <w:tc>
          <w:tcPr>
            <w:tcW w:w="2636" w:type="dxa"/>
          </w:tcPr>
          <w:p w14:paraId="4FFDFD61" w14:textId="77777777" w:rsidR="0076018B" w:rsidRPr="00950D03" w:rsidRDefault="0076018B" w:rsidP="00080F30">
            <w:r w:rsidRPr="00950D03">
              <w:rPr>
                <w:bCs/>
              </w:rPr>
              <w:t>C</w:t>
            </w:r>
            <w:r>
              <w:rPr>
                <w:bCs/>
              </w:rPr>
              <w:t xml:space="preserve">atastrophic Potential Hazards </w:t>
            </w:r>
            <w:r w:rsidR="00150B5D">
              <w:rPr>
                <w:bCs/>
              </w:rPr>
              <w:t xml:space="preserve">(CPH) </w:t>
            </w:r>
            <w:r>
              <w:rPr>
                <w:bCs/>
              </w:rPr>
              <w:t>Process</w:t>
            </w:r>
          </w:p>
        </w:tc>
        <w:tc>
          <w:tcPr>
            <w:tcW w:w="7674" w:type="dxa"/>
          </w:tcPr>
          <w:p w14:paraId="4FFDFD62" w14:textId="77777777" w:rsidR="0076018B" w:rsidRDefault="0076018B" w:rsidP="00E615CC">
            <w:r>
              <w:t xml:space="preserve">Physical and Chemical operations that potentially have </w:t>
            </w:r>
            <w:r w:rsidR="00E615CC">
              <w:t xml:space="preserve">3-4 </w:t>
            </w:r>
            <w:r>
              <w:t>Catastrophic Consequences</w:t>
            </w:r>
            <w:r w:rsidR="00E615CC">
              <w:t xml:space="preserve"> of Interest</w:t>
            </w:r>
            <w:r>
              <w:t>, as identified by the Lilly Catastrophic Hazard Identification Tool. (e.g. Steam Letdown Stations, Dust Collectors, Ozone Generators, Flammable Waste Solvent, etc.)</w:t>
            </w:r>
          </w:p>
        </w:tc>
      </w:tr>
      <w:tr w:rsidR="00997FC5" w14:paraId="4FFDFD68" w14:textId="77777777" w:rsidTr="0076018B">
        <w:tc>
          <w:tcPr>
            <w:tcW w:w="2636" w:type="dxa"/>
          </w:tcPr>
          <w:p w14:paraId="4FFDFD64" w14:textId="77777777" w:rsidR="00997FC5" w:rsidRDefault="0032779C" w:rsidP="000B1CD4">
            <w:r>
              <w:t xml:space="preserve">Personal Injury </w:t>
            </w:r>
            <w:r w:rsidRPr="008A3313">
              <w:t>hazards</w:t>
            </w:r>
            <w:r>
              <w:t xml:space="preserve"> (Chemical or Energy Release) Catastrophic Consequence of Interest</w:t>
            </w:r>
          </w:p>
        </w:tc>
        <w:tc>
          <w:tcPr>
            <w:tcW w:w="7674" w:type="dxa"/>
          </w:tcPr>
          <w:p w14:paraId="4FFDFD65" w14:textId="77777777" w:rsidR="00997FC5" w:rsidRDefault="0032779C" w:rsidP="0032779C">
            <w:r>
              <w:t>Lilly onsite Employee -  Permanent Disabling Injury/ Fatality</w:t>
            </w:r>
          </w:p>
          <w:p w14:paraId="4FFDFD66" w14:textId="77777777" w:rsidR="0032779C" w:rsidRDefault="00E615CC" w:rsidP="0032779C">
            <w:r>
              <w:t>&amp;/</w:t>
            </w:r>
            <w:r w:rsidR="0032779C">
              <w:t>or</w:t>
            </w:r>
          </w:p>
          <w:p w14:paraId="4FFDFD67" w14:textId="77777777" w:rsidR="0032779C" w:rsidRDefault="0032779C" w:rsidP="0032779C">
            <w:r>
              <w:t>External Injury or Fatality</w:t>
            </w:r>
          </w:p>
        </w:tc>
      </w:tr>
      <w:tr w:rsidR="00997FC5" w14:paraId="4FFDFD6D" w14:textId="77777777" w:rsidTr="0076018B">
        <w:tc>
          <w:tcPr>
            <w:tcW w:w="2636" w:type="dxa"/>
          </w:tcPr>
          <w:p w14:paraId="4FFDFD69" w14:textId="77777777" w:rsidR="00997FC5" w:rsidRDefault="0032779C" w:rsidP="000B1CD4">
            <w:r>
              <w:t>Environmental hazards (Air, Water, Waste, Soil) Catastrophic Consequence of Interest</w:t>
            </w:r>
          </w:p>
        </w:tc>
        <w:tc>
          <w:tcPr>
            <w:tcW w:w="7674" w:type="dxa"/>
          </w:tcPr>
          <w:p w14:paraId="4FFDFD6A" w14:textId="77777777" w:rsidR="00997FC5" w:rsidRDefault="0032779C" w:rsidP="000B1CD4">
            <w:r>
              <w:t>Environmental Damage – Onsite or Offsite – Acute or Toxic</w:t>
            </w:r>
          </w:p>
          <w:p w14:paraId="4FFDFD6B" w14:textId="77777777" w:rsidR="0032779C" w:rsidRDefault="0032779C" w:rsidP="000B1CD4">
            <w:r>
              <w:t>or</w:t>
            </w:r>
          </w:p>
          <w:p w14:paraId="4FFDFD6C" w14:textId="77777777" w:rsidR="0032779C" w:rsidRDefault="00E615CC" w:rsidP="000B1CD4">
            <w:r>
              <w:t>Offsite Evac</w:t>
            </w:r>
            <w:r w:rsidR="00CE6FA3">
              <w:t>u</w:t>
            </w:r>
            <w:r>
              <w:t>ation/ Offsite Shelter in Place/ Offsite Property Damage</w:t>
            </w:r>
          </w:p>
        </w:tc>
      </w:tr>
      <w:tr w:rsidR="00997FC5" w14:paraId="4FFDFD74" w14:textId="77777777" w:rsidTr="0076018B">
        <w:tc>
          <w:tcPr>
            <w:tcW w:w="2636" w:type="dxa"/>
          </w:tcPr>
          <w:p w14:paraId="4FFDFD6E" w14:textId="77777777" w:rsidR="00997FC5" w:rsidRPr="00950D03" w:rsidRDefault="0032779C" w:rsidP="000B1CD4">
            <w:r>
              <w:t>Financial hazards Catastrophic Consequence of In</w:t>
            </w:r>
            <w:r w:rsidR="00E615CC">
              <w:t>t</w:t>
            </w:r>
            <w:r>
              <w:t>erest</w:t>
            </w:r>
          </w:p>
        </w:tc>
        <w:tc>
          <w:tcPr>
            <w:tcW w:w="7674" w:type="dxa"/>
          </w:tcPr>
          <w:p w14:paraId="4FFDFD6F" w14:textId="77777777" w:rsidR="00997FC5" w:rsidRDefault="00E615CC" w:rsidP="000B1CD4">
            <w:r>
              <w:t>Revenue Loss/ Business Interruption</w:t>
            </w:r>
          </w:p>
          <w:p w14:paraId="4FFDFD70" w14:textId="77777777" w:rsidR="00E615CC" w:rsidRDefault="00E615CC" w:rsidP="000B1CD4">
            <w:r>
              <w:t>or</w:t>
            </w:r>
          </w:p>
          <w:p w14:paraId="4FFDFD71" w14:textId="77777777" w:rsidR="00E615CC" w:rsidRDefault="00E615CC" w:rsidP="000B1CD4">
            <w:r>
              <w:t>Onsite Assets/ Property Damage</w:t>
            </w:r>
          </w:p>
          <w:p w14:paraId="4FFDFD72" w14:textId="77777777" w:rsidR="00E615CC" w:rsidRDefault="00E615CC" w:rsidP="000B1CD4">
            <w:r>
              <w:t>or</w:t>
            </w:r>
          </w:p>
          <w:p w14:paraId="4FFDFD73" w14:textId="77777777" w:rsidR="00E615CC" w:rsidRDefault="00E615CC" w:rsidP="00E615CC">
            <w:r>
              <w:t>Reputation &amp; Fines/ Regulatory Action &amp;/ Adverse Publicity</w:t>
            </w:r>
          </w:p>
        </w:tc>
      </w:tr>
      <w:tr w:rsidR="00D852C0" w14:paraId="4FFDFD77" w14:textId="77777777" w:rsidTr="0076018B">
        <w:tc>
          <w:tcPr>
            <w:tcW w:w="2636" w:type="dxa"/>
          </w:tcPr>
          <w:p w14:paraId="4FFDFD75" w14:textId="77777777" w:rsidR="00D852C0" w:rsidRPr="00950D03" w:rsidRDefault="00D852C0" w:rsidP="000B1CD4"/>
        </w:tc>
        <w:tc>
          <w:tcPr>
            <w:tcW w:w="7674" w:type="dxa"/>
          </w:tcPr>
          <w:p w14:paraId="4FFDFD76" w14:textId="77777777" w:rsidR="00D852C0" w:rsidRDefault="00D852C0" w:rsidP="000B1CD4"/>
        </w:tc>
      </w:tr>
    </w:tbl>
    <w:p w14:paraId="4FFDFD78" w14:textId="77777777" w:rsidR="00D25307" w:rsidRPr="00CE6FA3" w:rsidRDefault="00D25307" w:rsidP="00CE6FA3">
      <w:pPr>
        <w:pStyle w:val="Heading2"/>
      </w:pPr>
      <w:bookmarkStart w:id="4" w:name="_Toc350753840"/>
      <w:r w:rsidRPr="00CE6FA3">
        <w:lastRenderedPageBreak/>
        <w:t>APPLICABILITY</w:t>
      </w:r>
      <w:bookmarkEnd w:id="4"/>
    </w:p>
    <w:p w14:paraId="4FFDFD79" w14:textId="77777777" w:rsidR="00D25307" w:rsidRPr="00FE2A57" w:rsidRDefault="00D25307" w:rsidP="00EA5F9F">
      <w:pPr>
        <w:pStyle w:val="DevMfgNormal"/>
        <w:keepNext/>
        <w:keepLines/>
        <w:numPr>
          <w:ilvl w:val="1"/>
          <w:numId w:val="22"/>
        </w:numPr>
        <w:tabs>
          <w:tab w:val="clear" w:pos="792"/>
        </w:tabs>
        <w:ind w:left="1170" w:hanging="450"/>
        <w:rPr>
          <w:rFonts w:ascii="Times-Roman" w:hAnsi="Times-Roman" w:cs="Times-Roman"/>
          <w:szCs w:val="24"/>
        </w:rPr>
      </w:pPr>
      <w:r>
        <w:t xml:space="preserve">Each business area must determine if any process/operation (routine and non-routine) has </w:t>
      </w:r>
      <w:r w:rsidR="007540AD">
        <w:t>hazards that could lead to potential</w:t>
      </w:r>
      <w:r w:rsidR="00E615CC">
        <w:t xml:space="preserve"> Catastrophic </w:t>
      </w:r>
      <w:r w:rsidR="007540AD">
        <w:t>Consequences</w:t>
      </w:r>
      <w:r w:rsidR="00FE2A57">
        <w:t>.</w:t>
      </w:r>
      <w:r w:rsidR="007540AD">
        <w:t xml:space="preserve">  </w:t>
      </w:r>
      <w:r w:rsidRPr="00FE2A57">
        <w:rPr>
          <w:rFonts w:ascii="Times-Roman" w:hAnsi="Times-Roman" w:cs="Times-Roman"/>
          <w:szCs w:val="24"/>
        </w:rPr>
        <w:t xml:space="preserve">Evaluation </w:t>
      </w:r>
      <w:r w:rsidR="00E615CC">
        <w:rPr>
          <w:rFonts w:ascii="Times-Roman" w:hAnsi="Times-Roman" w:cs="Times-Roman"/>
          <w:szCs w:val="24"/>
        </w:rPr>
        <w:t>s</w:t>
      </w:r>
      <w:r w:rsidRPr="00FE2A57">
        <w:rPr>
          <w:rFonts w:ascii="Times-Roman" w:hAnsi="Times-Roman" w:cs="Times-Roman"/>
          <w:szCs w:val="24"/>
        </w:rPr>
        <w:t>h</w:t>
      </w:r>
      <w:r w:rsidR="00E615CC">
        <w:rPr>
          <w:rFonts w:ascii="Times-Roman" w:hAnsi="Times-Roman" w:cs="Times-Roman"/>
          <w:szCs w:val="24"/>
        </w:rPr>
        <w:t>all</w:t>
      </w:r>
      <w:r w:rsidRPr="00FE2A57">
        <w:rPr>
          <w:rFonts w:ascii="Times-Roman" w:hAnsi="Times-Roman" w:cs="Times-Roman"/>
          <w:szCs w:val="24"/>
        </w:rPr>
        <w:t xml:space="preserve"> be determined by </w:t>
      </w:r>
      <w:r w:rsidR="00FE2A57" w:rsidRPr="00FE2A57">
        <w:rPr>
          <w:rFonts w:ascii="Times-Roman" w:hAnsi="Times-Roman" w:cs="Times-Roman"/>
          <w:szCs w:val="24"/>
        </w:rPr>
        <w:t xml:space="preserve">completing the Lilly </w:t>
      </w:r>
      <w:r w:rsidR="00FE2A57">
        <w:t>Catastrophic Hazard Identification Tool</w:t>
      </w:r>
      <w:r w:rsidR="00867E25">
        <w:t>.</w:t>
      </w:r>
    </w:p>
    <w:p w14:paraId="4FFDFD7A" w14:textId="77777777" w:rsidR="00D25307" w:rsidRPr="002B7E1B" w:rsidRDefault="00D25307" w:rsidP="00EA5F9F">
      <w:pPr>
        <w:pStyle w:val="DevMfgNormal"/>
        <w:keepNext/>
        <w:keepLines/>
        <w:numPr>
          <w:ilvl w:val="1"/>
          <w:numId w:val="22"/>
        </w:numPr>
        <w:tabs>
          <w:tab w:val="clear" w:pos="792"/>
        </w:tabs>
        <w:ind w:left="1170" w:hanging="450"/>
      </w:pPr>
      <w:r w:rsidRPr="002B7E1B">
        <w:t xml:space="preserve">Conformance to requirements in this </w:t>
      </w:r>
      <w:r w:rsidR="00FE2A57">
        <w:t>program</w:t>
      </w:r>
      <w:r w:rsidRPr="002B7E1B">
        <w:t xml:space="preserve"> is required for:</w:t>
      </w:r>
    </w:p>
    <w:p w14:paraId="4FFDFD7B" w14:textId="77777777" w:rsidR="00D25307" w:rsidRPr="006E1B26" w:rsidRDefault="00D25307" w:rsidP="00E25A63">
      <w:pPr>
        <w:pStyle w:val="DevMfgNormal"/>
        <w:keepNext/>
        <w:keepLines/>
        <w:numPr>
          <w:ilvl w:val="3"/>
          <w:numId w:val="22"/>
        </w:numPr>
        <w:tabs>
          <w:tab w:val="clear" w:pos="1728"/>
        </w:tabs>
        <w:spacing w:after="0"/>
        <w:ind w:left="1170" w:hanging="270"/>
      </w:pPr>
      <w:r w:rsidRPr="002B7E1B">
        <w:t xml:space="preserve">New </w:t>
      </w:r>
      <w:r>
        <w:t>equipment</w:t>
      </w:r>
      <w:r w:rsidR="00E671A5">
        <w:t>,</w:t>
      </w:r>
      <w:r>
        <w:t xml:space="preserve"> existing equipment, facilities, or utilities that are designed after the effective </w:t>
      </w:r>
      <w:r w:rsidRPr="006E1B26">
        <w:t xml:space="preserve">date of this </w:t>
      </w:r>
      <w:r w:rsidR="00607E13">
        <w:t>program, with the potential for catastrophic hazards</w:t>
      </w:r>
      <w:r w:rsidRPr="006E1B26">
        <w:t>.</w:t>
      </w:r>
    </w:p>
    <w:p w14:paraId="4FFDFD7C" w14:textId="77777777" w:rsidR="00D25307" w:rsidRPr="002B7E1B" w:rsidRDefault="00D25307" w:rsidP="00E25A63">
      <w:pPr>
        <w:pStyle w:val="DevMfgNormal"/>
        <w:keepNext/>
        <w:keepLines/>
        <w:numPr>
          <w:ilvl w:val="3"/>
          <w:numId w:val="22"/>
        </w:numPr>
        <w:tabs>
          <w:tab w:val="clear" w:pos="1728"/>
        </w:tabs>
        <w:spacing w:after="0"/>
        <w:ind w:left="1170" w:hanging="270"/>
      </w:pPr>
      <w:r>
        <w:t>Introduction of new products (or processes) into existing equipment or facilities</w:t>
      </w:r>
      <w:r w:rsidR="00607E13">
        <w:t xml:space="preserve"> with the potential for catastrophic hazards, </w:t>
      </w:r>
      <w:r>
        <w:t>when conformance is warranted</w:t>
      </w:r>
      <w:r w:rsidR="00607E13">
        <w:t>,</w:t>
      </w:r>
      <w:r>
        <w:t xml:space="preserve"> based upon a risk assessment or is required by local regulations.</w:t>
      </w:r>
    </w:p>
    <w:p w14:paraId="4FFDFD7D" w14:textId="77777777" w:rsidR="00D25307" w:rsidRDefault="00D25307" w:rsidP="00E25A63">
      <w:pPr>
        <w:pStyle w:val="DevMfgNormal"/>
        <w:keepNext/>
        <w:keepLines/>
        <w:numPr>
          <w:ilvl w:val="3"/>
          <w:numId w:val="22"/>
        </w:numPr>
        <w:tabs>
          <w:tab w:val="clear" w:pos="1728"/>
        </w:tabs>
        <w:spacing w:after="0"/>
        <w:ind w:left="1170" w:hanging="270"/>
      </w:pPr>
      <w:r w:rsidRPr="002B7E1B">
        <w:t>Modifications and/or subsequent changes to these systems (based upon a risk assessment)</w:t>
      </w:r>
      <w:r>
        <w:t>.</w:t>
      </w:r>
    </w:p>
    <w:p w14:paraId="4FFDFD7E" w14:textId="77777777" w:rsidR="00CE6FA3" w:rsidRDefault="00CE6FA3" w:rsidP="00EA5F9F">
      <w:pPr>
        <w:pStyle w:val="DevMfgNormal"/>
        <w:keepNext/>
        <w:keepLines/>
        <w:spacing w:after="0"/>
        <w:ind w:left="1170" w:hanging="450"/>
      </w:pPr>
    </w:p>
    <w:p w14:paraId="4FFDFD7F" w14:textId="77777777" w:rsidR="00D25307" w:rsidRDefault="00FE2A57" w:rsidP="00EA5F9F">
      <w:pPr>
        <w:pStyle w:val="DevMfgNormal"/>
        <w:keepNext/>
        <w:keepLines/>
        <w:numPr>
          <w:ilvl w:val="1"/>
          <w:numId w:val="22"/>
        </w:numPr>
        <w:tabs>
          <w:tab w:val="clear" w:pos="792"/>
        </w:tabs>
        <w:spacing w:after="0"/>
        <w:ind w:left="1170" w:hanging="450"/>
      </w:pPr>
      <w:r>
        <w:t xml:space="preserve">Catastrophic Potential Hazards </w:t>
      </w:r>
      <w:r w:rsidR="00D25307">
        <w:t>processes</w:t>
      </w:r>
      <w:r>
        <w:t xml:space="preserve"> </w:t>
      </w:r>
      <w:r w:rsidR="00D25307">
        <w:t>shall be</w:t>
      </w:r>
      <w:r w:rsidR="00607E13">
        <w:t>:</w:t>
      </w:r>
    </w:p>
    <w:p w14:paraId="4FFDFD80" w14:textId="49D93CAE" w:rsidR="0004067C" w:rsidRDefault="00607E13" w:rsidP="00E25A63">
      <w:pPr>
        <w:pStyle w:val="DevMfgNormal"/>
        <w:keepNext/>
        <w:keepLines/>
        <w:numPr>
          <w:ilvl w:val="0"/>
          <w:numId w:val="20"/>
        </w:numPr>
        <w:autoSpaceDE w:val="0"/>
        <w:autoSpaceDN w:val="0"/>
        <w:adjustRightInd w:val="0"/>
        <w:spacing w:after="0"/>
        <w:ind w:left="1170" w:hanging="270"/>
      </w:pPr>
      <w:r>
        <w:t>D</w:t>
      </w:r>
      <w:r w:rsidR="00D25307">
        <w:t xml:space="preserve">eclared </w:t>
      </w:r>
      <w:r>
        <w:t xml:space="preserve">and documented </w:t>
      </w:r>
      <w:r w:rsidR="00423292">
        <w:t xml:space="preserve">as </w:t>
      </w:r>
      <w:r w:rsidR="00D25307">
        <w:t xml:space="preserve">an aspect on the  HSE Management System </w:t>
      </w:r>
      <w:r w:rsidR="00CE6FA3">
        <w:t>collabsite</w:t>
      </w:r>
    </w:p>
    <w:p w14:paraId="4FFDFD81" w14:textId="0C928EB8" w:rsidR="00867E25" w:rsidRDefault="00CE6FA3" w:rsidP="00E25A63">
      <w:pPr>
        <w:pStyle w:val="DevMfgNormal"/>
        <w:keepNext/>
        <w:keepLines/>
        <w:numPr>
          <w:ilvl w:val="0"/>
          <w:numId w:val="20"/>
        </w:numPr>
        <w:autoSpaceDE w:val="0"/>
        <w:autoSpaceDN w:val="0"/>
        <w:adjustRightInd w:val="0"/>
        <w:spacing w:after="0"/>
        <w:ind w:left="1170" w:hanging="270"/>
      </w:pPr>
      <w:r>
        <w:t>Documented</w:t>
      </w:r>
      <w:r w:rsidR="00283F1E">
        <w:t xml:space="preserve"> </w:t>
      </w:r>
      <w:r w:rsidR="00FE2A57">
        <w:t>in Lilly Catastrophic Hazard Identification Tool</w:t>
      </w:r>
      <w:r w:rsidR="00035FE8">
        <w:t xml:space="preserve"> documents</w:t>
      </w:r>
      <w:r w:rsidR="00607E13">
        <w:t>,</w:t>
      </w:r>
      <w:r w:rsidR="00283F1E">
        <w:t xml:space="preserve"> located</w:t>
      </w:r>
      <w:r w:rsidR="00FE2A57">
        <w:t xml:space="preserve"> </w:t>
      </w:r>
      <w:r w:rsidR="00150B5D">
        <w:t>in the</w:t>
      </w:r>
      <w:r w:rsidR="00011212">
        <w:t xml:space="preserve">  Process Safety Management</w:t>
      </w:r>
      <w:r w:rsidR="00045476">
        <w:t xml:space="preserve"> </w:t>
      </w:r>
      <w:r w:rsidR="00011212">
        <w:t>or</w:t>
      </w:r>
      <w:r w:rsidR="00045476">
        <w:t xml:space="preserve"> </w:t>
      </w:r>
      <w:r w:rsidR="00831F53">
        <w:t>various</w:t>
      </w:r>
      <w:r w:rsidR="00045476">
        <w:t xml:space="preserve"> HSE Support Services</w:t>
      </w:r>
      <w:r w:rsidR="00E671A5">
        <w:t xml:space="preserve"> Steering Team</w:t>
      </w:r>
      <w:r w:rsidR="00045476">
        <w:t xml:space="preserve"> collabsites</w:t>
      </w:r>
    </w:p>
    <w:p w14:paraId="4FFDFD82" w14:textId="364B41AB" w:rsidR="00FE2A57" w:rsidRDefault="00867E25" w:rsidP="00E25A63">
      <w:pPr>
        <w:pStyle w:val="DevMfgNormal"/>
        <w:keepNext/>
        <w:keepLines/>
        <w:numPr>
          <w:ilvl w:val="0"/>
          <w:numId w:val="20"/>
        </w:numPr>
        <w:autoSpaceDE w:val="0"/>
        <w:autoSpaceDN w:val="0"/>
        <w:adjustRightInd w:val="0"/>
        <w:spacing w:after="0"/>
        <w:ind w:left="1170" w:hanging="270"/>
      </w:pPr>
      <w:r>
        <w:t>Boundaries and process descriptions are documented in the PSM and CPH Applicability Declaration document, located in the CPH collabsite</w:t>
      </w:r>
      <w:r w:rsidR="00045476">
        <w:t>.</w:t>
      </w:r>
    </w:p>
    <w:p w14:paraId="4FFDFD83" w14:textId="77777777" w:rsidR="00EA5F9F" w:rsidRDefault="00EA5F9F" w:rsidP="00EA5F9F">
      <w:pPr>
        <w:pStyle w:val="DevMfgNormal"/>
        <w:keepNext/>
        <w:keepLines/>
        <w:autoSpaceDE w:val="0"/>
        <w:autoSpaceDN w:val="0"/>
        <w:adjustRightInd w:val="0"/>
        <w:spacing w:after="0"/>
        <w:ind w:left="1170" w:hanging="450"/>
      </w:pPr>
    </w:p>
    <w:p w14:paraId="4FFDFD84" w14:textId="1BB18C4A" w:rsidR="00E671A5" w:rsidRDefault="00E671A5" w:rsidP="00EA5F9F">
      <w:pPr>
        <w:pStyle w:val="DevMfgNormal"/>
        <w:keepNext/>
        <w:keepLines/>
        <w:numPr>
          <w:ilvl w:val="1"/>
          <w:numId w:val="22"/>
        </w:numPr>
        <w:tabs>
          <w:tab w:val="clear" w:pos="792"/>
        </w:tabs>
        <w:autoSpaceDE w:val="0"/>
        <w:autoSpaceDN w:val="0"/>
        <w:adjustRightInd w:val="0"/>
        <w:spacing w:after="0"/>
        <w:ind w:left="1170" w:hanging="450"/>
      </w:pPr>
      <w:r>
        <w:t xml:space="preserve">A </w:t>
      </w:r>
      <w:r w:rsidR="00EA5F9F">
        <w:t>Qualitative Risk Evaluation</w:t>
      </w:r>
      <w:r>
        <w:t xml:space="preserve"> shall be</w:t>
      </w:r>
      <w:r w:rsidR="00EA5F9F">
        <w:t xml:space="preserve"> </w:t>
      </w:r>
      <w:r w:rsidR="00DD08E2">
        <w:t xml:space="preserve">used </w:t>
      </w:r>
      <w:r w:rsidR="00EA5F9F">
        <w:t>to determine priority for CPH Assessments</w:t>
      </w:r>
      <w:r>
        <w:t>,</w:t>
      </w:r>
      <w:r w:rsidR="007A4971">
        <w:t xml:space="preserve"> (an optional template is available in the  CPH Assessment Guideline)</w:t>
      </w:r>
      <w:r>
        <w:t xml:space="preserve"> based </w:t>
      </w:r>
      <w:r w:rsidR="00990C58">
        <w:t xml:space="preserve">as a minimum </w:t>
      </w:r>
      <w:r>
        <w:t>on the following criteria;</w:t>
      </w:r>
    </w:p>
    <w:p w14:paraId="4FFDFD85" w14:textId="77777777" w:rsidR="00990C58" w:rsidRDefault="00990C58" w:rsidP="00336B71">
      <w:pPr>
        <w:pStyle w:val="DevMfgNormal"/>
        <w:keepNext/>
        <w:keepLines/>
        <w:numPr>
          <w:ilvl w:val="0"/>
          <w:numId w:val="23"/>
        </w:numPr>
        <w:autoSpaceDE w:val="0"/>
        <w:autoSpaceDN w:val="0"/>
        <w:adjustRightInd w:val="0"/>
        <w:spacing w:after="0"/>
        <w:ind w:left="1170" w:hanging="270"/>
      </w:pPr>
      <w:r>
        <w:t>Process Safety Information</w:t>
      </w:r>
      <w:r w:rsidR="00E50DD6">
        <w:t xml:space="preserve"> (PSI)</w:t>
      </w:r>
      <w:r>
        <w:t xml:space="preserve"> in place and available</w:t>
      </w:r>
    </w:p>
    <w:p w14:paraId="4FFDFD86" w14:textId="77777777" w:rsidR="00990C58" w:rsidRDefault="00990C58" w:rsidP="00336B71">
      <w:pPr>
        <w:pStyle w:val="DevMfgNormal"/>
        <w:keepNext/>
        <w:keepLines/>
        <w:numPr>
          <w:ilvl w:val="0"/>
          <w:numId w:val="23"/>
        </w:numPr>
        <w:autoSpaceDE w:val="0"/>
        <w:autoSpaceDN w:val="0"/>
        <w:adjustRightInd w:val="0"/>
        <w:spacing w:after="0"/>
        <w:ind w:left="1170" w:hanging="270"/>
      </w:pPr>
      <w:r>
        <w:t>CPH Assessments/ Process Hazard Reviews completed and recommendations resolved</w:t>
      </w:r>
    </w:p>
    <w:p w14:paraId="4FFDFD87" w14:textId="77777777" w:rsidR="00825C79" w:rsidRDefault="00C70D10" w:rsidP="00336B71">
      <w:pPr>
        <w:pStyle w:val="DevMfgNormal"/>
        <w:keepNext/>
        <w:keepLines/>
        <w:numPr>
          <w:ilvl w:val="0"/>
          <w:numId w:val="23"/>
        </w:numPr>
        <w:autoSpaceDE w:val="0"/>
        <w:autoSpaceDN w:val="0"/>
        <w:adjustRightInd w:val="0"/>
        <w:spacing w:after="0"/>
        <w:ind w:left="1170" w:hanging="270"/>
      </w:pPr>
      <w:r>
        <w:t xml:space="preserve">Chemical or Physical </w:t>
      </w:r>
      <w:r w:rsidR="00825C79">
        <w:t>Hazards involved understood</w:t>
      </w:r>
      <w:r>
        <w:t xml:space="preserve"> &amp;/or communicated</w:t>
      </w:r>
    </w:p>
    <w:p w14:paraId="4FFDFD88" w14:textId="77777777" w:rsidR="00825C79" w:rsidRDefault="00825C79" w:rsidP="00336B71">
      <w:pPr>
        <w:pStyle w:val="DevMfgNormal"/>
        <w:keepNext/>
        <w:keepLines/>
        <w:numPr>
          <w:ilvl w:val="0"/>
          <w:numId w:val="23"/>
        </w:numPr>
        <w:autoSpaceDE w:val="0"/>
        <w:autoSpaceDN w:val="0"/>
        <w:adjustRightInd w:val="0"/>
        <w:spacing w:after="0"/>
        <w:ind w:left="1170" w:hanging="270"/>
      </w:pPr>
      <w:r>
        <w:t xml:space="preserve">Procedures and Training </w:t>
      </w:r>
      <w:r w:rsidR="00C70D10">
        <w:t xml:space="preserve">for process </w:t>
      </w:r>
      <w:r>
        <w:t>in place and up to date</w:t>
      </w:r>
    </w:p>
    <w:p w14:paraId="4FFDFD89" w14:textId="77777777" w:rsidR="00EA5F9F" w:rsidRDefault="00C70D10" w:rsidP="00336B71">
      <w:pPr>
        <w:pStyle w:val="DevMfgNormal"/>
        <w:keepNext/>
        <w:keepLines/>
        <w:numPr>
          <w:ilvl w:val="0"/>
          <w:numId w:val="23"/>
        </w:numPr>
        <w:autoSpaceDE w:val="0"/>
        <w:autoSpaceDN w:val="0"/>
        <w:adjustRightInd w:val="0"/>
        <w:spacing w:after="0"/>
        <w:ind w:left="1170" w:hanging="270"/>
      </w:pPr>
      <w:r>
        <w:t>A</w:t>
      </w:r>
      <w:r w:rsidR="00825C79">
        <w:t>utomated Control Systems in place</w:t>
      </w:r>
      <w:r>
        <w:t xml:space="preserve"> and up to date</w:t>
      </w:r>
    </w:p>
    <w:p w14:paraId="4FFDFD8A" w14:textId="77777777" w:rsidR="00825C79" w:rsidRDefault="00825C79" w:rsidP="00336B71">
      <w:pPr>
        <w:pStyle w:val="DevMfgNormal"/>
        <w:keepNext/>
        <w:keepLines/>
        <w:numPr>
          <w:ilvl w:val="0"/>
          <w:numId w:val="23"/>
        </w:numPr>
        <w:autoSpaceDE w:val="0"/>
        <w:autoSpaceDN w:val="0"/>
        <w:adjustRightInd w:val="0"/>
        <w:spacing w:after="0"/>
        <w:ind w:left="1170" w:hanging="270"/>
      </w:pPr>
      <w:r>
        <w:t>A Maintenance List in place and up</w:t>
      </w:r>
      <w:r w:rsidR="00C70D10">
        <w:t xml:space="preserve"> </w:t>
      </w:r>
      <w:r>
        <w:t>to date for CPH equipment (see 4.1)</w:t>
      </w:r>
    </w:p>
    <w:p w14:paraId="4FFDFD8B" w14:textId="77777777" w:rsidR="00825C79" w:rsidRDefault="00825C79" w:rsidP="00336B71">
      <w:pPr>
        <w:pStyle w:val="DevMfgNormal"/>
        <w:keepNext/>
        <w:keepLines/>
        <w:numPr>
          <w:ilvl w:val="0"/>
          <w:numId w:val="23"/>
        </w:numPr>
        <w:autoSpaceDE w:val="0"/>
        <w:autoSpaceDN w:val="0"/>
        <w:adjustRightInd w:val="0"/>
        <w:spacing w:after="0"/>
        <w:ind w:left="1170" w:hanging="270"/>
      </w:pPr>
      <w:r>
        <w:t>Upcoming</w:t>
      </w:r>
      <w:r w:rsidR="00C70D10">
        <w:t xml:space="preserve"> major</w:t>
      </w:r>
      <w:r>
        <w:t xml:space="preserve"> Projects/ Changes being planned</w:t>
      </w:r>
      <w:r w:rsidR="00C70D10">
        <w:t xml:space="preserve"> requiring analysis</w:t>
      </w:r>
    </w:p>
    <w:p w14:paraId="4FFDFD8C" w14:textId="77777777" w:rsidR="00825C79" w:rsidRPr="00A52BFB" w:rsidRDefault="00825C79" w:rsidP="00336B71">
      <w:pPr>
        <w:pStyle w:val="DevMfgNormal"/>
        <w:keepNext/>
        <w:keepLines/>
        <w:numPr>
          <w:ilvl w:val="0"/>
          <w:numId w:val="23"/>
        </w:numPr>
        <w:autoSpaceDE w:val="0"/>
        <w:autoSpaceDN w:val="0"/>
        <w:adjustRightInd w:val="0"/>
        <w:spacing w:after="0"/>
        <w:ind w:left="1170" w:hanging="270"/>
      </w:pPr>
      <w:r>
        <w:t xml:space="preserve">Lessons Learned from Events in similar processes (External or Lilly) </w:t>
      </w:r>
    </w:p>
    <w:p w14:paraId="4FFDFD8D" w14:textId="77777777" w:rsidR="00C23968" w:rsidRDefault="00C23968" w:rsidP="006E0A00">
      <w:pPr>
        <w:tabs>
          <w:tab w:val="left" w:pos="-720"/>
          <w:tab w:val="left" w:pos="0"/>
          <w:tab w:val="left" w:pos="720"/>
        </w:tabs>
        <w:overflowPunct w:val="0"/>
        <w:autoSpaceDE w:val="0"/>
        <w:autoSpaceDN w:val="0"/>
        <w:adjustRightInd w:val="0"/>
        <w:textAlignment w:val="baseline"/>
      </w:pPr>
    </w:p>
    <w:p w14:paraId="4FFDFD8E" w14:textId="77777777" w:rsidR="008C2CC6" w:rsidRPr="008A3313" w:rsidRDefault="00150B5D" w:rsidP="00CE6FA3">
      <w:pPr>
        <w:pStyle w:val="Heading2"/>
      </w:pPr>
      <w:bookmarkStart w:id="5" w:name="_Toc350753841"/>
      <w:r>
        <w:t>CPH</w:t>
      </w:r>
      <w:r w:rsidR="003F5111">
        <w:t xml:space="preserve"> </w:t>
      </w:r>
      <w:r w:rsidR="008C2CC6" w:rsidRPr="008A3313">
        <w:t>Assessment</w:t>
      </w:r>
      <w:bookmarkEnd w:id="5"/>
    </w:p>
    <w:p w14:paraId="4FFDFD8F" w14:textId="77777777" w:rsidR="00FD2389" w:rsidRDefault="00FD2389" w:rsidP="00EA5F9F">
      <w:pPr>
        <w:autoSpaceDE w:val="0"/>
        <w:autoSpaceDN w:val="0"/>
        <w:adjustRightInd w:val="0"/>
        <w:ind w:left="720"/>
      </w:pPr>
      <w:r>
        <w:t xml:space="preserve">2.1  </w:t>
      </w:r>
      <w:r w:rsidR="008C2CC6" w:rsidRPr="008A3313">
        <w:t xml:space="preserve">A </w:t>
      </w:r>
      <w:r w:rsidR="00150B5D">
        <w:t>CPH</w:t>
      </w:r>
      <w:r w:rsidR="008C2CC6" w:rsidRPr="008A3313">
        <w:t xml:space="preserve"> </w:t>
      </w:r>
      <w:r w:rsidR="00150B5D">
        <w:t>A</w:t>
      </w:r>
      <w:r w:rsidR="008C2CC6" w:rsidRPr="008A3313">
        <w:t xml:space="preserve">ssessment must be </w:t>
      </w:r>
      <w:r w:rsidR="003F5111">
        <w:t>performed and revalidated</w:t>
      </w:r>
      <w:r w:rsidR="008C2CC6" w:rsidRPr="008A3313">
        <w:t xml:space="preserve"> </w:t>
      </w:r>
      <w:r w:rsidR="003F5111">
        <w:t xml:space="preserve">at least every </w:t>
      </w:r>
      <w:r w:rsidR="00E26E64">
        <w:t>8</w:t>
      </w:r>
      <w:r w:rsidR="003F5111">
        <w:t xml:space="preserve"> years</w:t>
      </w:r>
      <w:r>
        <w:t xml:space="preserve"> for CPH processes</w:t>
      </w:r>
      <w:r w:rsidR="00607E13">
        <w:t>, that have been determined to have at</w:t>
      </w:r>
      <w:r>
        <w:t xml:space="preserve"> least 3 catastrophic consequences of interest</w:t>
      </w:r>
      <w:r w:rsidR="0004067C">
        <w:t>.</w:t>
      </w:r>
      <w:r w:rsidR="00E50DD6">
        <w:t xml:space="preserve"> Note; CPH Assessments are intended to drive PSI packages, Procedures, Training and Maintenance Lists. These may not be </w:t>
      </w:r>
      <w:r w:rsidR="002653CB">
        <w:t>available</w:t>
      </w:r>
      <w:r w:rsidR="00E50DD6">
        <w:t xml:space="preserve"> until CPH Assessments are scheduled and</w:t>
      </w:r>
      <w:r w:rsidR="002653CB">
        <w:t>/or</w:t>
      </w:r>
      <w:r w:rsidR="00E50DD6">
        <w:t xml:space="preserve"> completed.</w:t>
      </w:r>
    </w:p>
    <w:p w14:paraId="4FFDFD90" w14:textId="77777777" w:rsidR="00FD2389" w:rsidRDefault="00FD2389" w:rsidP="00EA5F9F">
      <w:pPr>
        <w:autoSpaceDE w:val="0"/>
        <w:autoSpaceDN w:val="0"/>
        <w:adjustRightInd w:val="0"/>
        <w:ind w:left="720"/>
      </w:pPr>
    </w:p>
    <w:p w14:paraId="4FFDFD91" w14:textId="77777777" w:rsidR="008C2CC6" w:rsidRPr="008A3313" w:rsidRDefault="00FD2389" w:rsidP="00EA5F9F">
      <w:pPr>
        <w:autoSpaceDE w:val="0"/>
        <w:autoSpaceDN w:val="0"/>
        <w:adjustRightInd w:val="0"/>
        <w:ind w:left="720"/>
      </w:pPr>
      <w:r>
        <w:t>2.2</w:t>
      </w:r>
      <w:r w:rsidR="0090064D">
        <w:t xml:space="preserve"> </w:t>
      </w:r>
      <w:r>
        <w:t xml:space="preserve"> </w:t>
      </w:r>
      <w:r w:rsidR="005E6F69">
        <w:t>A</w:t>
      </w:r>
      <w:r w:rsidR="008C2CC6" w:rsidRPr="008A3313">
        <w:t xml:space="preserve"> </w:t>
      </w:r>
      <w:r w:rsidR="005E6F69">
        <w:t xml:space="preserve">CPH </w:t>
      </w:r>
      <w:r w:rsidR="008C2CC6" w:rsidRPr="008A3313">
        <w:t>assessment must</w:t>
      </w:r>
      <w:r w:rsidR="00150B5D">
        <w:t xml:space="preserve"> identify</w:t>
      </w:r>
      <w:r w:rsidR="005E6F69">
        <w:t xml:space="preserve"> hazards and </w:t>
      </w:r>
      <w:r w:rsidR="00150B5D">
        <w:t>propose recommendations that resolve the following Catastrophic Consequences of Interest</w:t>
      </w:r>
      <w:r w:rsidR="008C2CC6" w:rsidRPr="008A3313">
        <w:t>:</w:t>
      </w:r>
    </w:p>
    <w:p w14:paraId="4FFDFD92" w14:textId="77777777" w:rsidR="005524A7" w:rsidRPr="008A3313" w:rsidRDefault="008C2CC6" w:rsidP="00EA5F9F">
      <w:pPr>
        <w:autoSpaceDE w:val="0"/>
        <w:autoSpaceDN w:val="0"/>
        <w:adjustRightInd w:val="0"/>
        <w:ind w:left="1170" w:hanging="270"/>
      </w:pPr>
      <w:r>
        <w:t>1</w:t>
      </w:r>
      <w:r w:rsidR="00FD2389">
        <w:t>.</w:t>
      </w:r>
      <w:r>
        <w:tab/>
      </w:r>
      <w:r w:rsidR="0032779C">
        <w:t>Personal Injury</w:t>
      </w:r>
      <w:r w:rsidR="00150B5D">
        <w:t xml:space="preserve"> </w:t>
      </w:r>
      <w:r w:rsidRPr="008A3313">
        <w:t>hazards</w:t>
      </w:r>
      <w:r w:rsidR="0032779C">
        <w:t xml:space="preserve"> (Chemical or Energy Release)</w:t>
      </w:r>
      <w:r w:rsidR="00C835E9">
        <w:t xml:space="preserve"> </w:t>
      </w:r>
    </w:p>
    <w:p w14:paraId="4FFDFD93" w14:textId="77777777" w:rsidR="008C2CC6" w:rsidRPr="008A3313" w:rsidRDefault="005524A7" w:rsidP="00EA5F9F">
      <w:pPr>
        <w:autoSpaceDE w:val="0"/>
        <w:autoSpaceDN w:val="0"/>
        <w:adjustRightInd w:val="0"/>
        <w:ind w:left="1170" w:hanging="270"/>
      </w:pPr>
      <w:r>
        <w:t>2</w:t>
      </w:r>
      <w:r w:rsidR="00FD2389">
        <w:t>.</w:t>
      </w:r>
      <w:r w:rsidR="008C2CC6">
        <w:tab/>
      </w:r>
      <w:r w:rsidR="00150B5D">
        <w:t>Environmental hazards</w:t>
      </w:r>
      <w:r w:rsidR="0032779C">
        <w:t xml:space="preserve"> (Air, Water, Waste, Soil)</w:t>
      </w:r>
    </w:p>
    <w:p w14:paraId="4FFDFD94" w14:textId="77777777" w:rsidR="00C835E9" w:rsidRPr="008A3313" w:rsidRDefault="005524A7" w:rsidP="00EA5F9F">
      <w:pPr>
        <w:autoSpaceDE w:val="0"/>
        <w:autoSpaceDN w:val="0"/>
        <w:adjustRightInd w:val="0"/>
        <w:ind w:left="1170" w:hanging="270"/>
      </w:pPr>
      <w:r>
        <w:t>3</w:t>
      </w:r>
      <w:r w:rsidR="00FD2389">
        <w:t>.</w:t>
      </w:r>
      <w:r w:rsidR="008C2CC6">
        <w:tab/>
      </w:r>
      <w:r w:rsidR="0032779C">
        <w:t>Financial</w:t>
      </w:r>
      <w:r w:rsidR="00150B5D">
        <w:t xml:space="preserve"> hazards</w:t>
      </w:r>
    </w:p>
    <w:p w14:paraId="4FFDFD95" w14:textId="77777777" w:rsidR="008C2CC6" w:rsidRPr="008A3313" w:rsidRDefault="008C2CC6" w:rsidP="00EA5F9F">
      <w:pPr>
        <w:autoSpaceDE w:val="0"/>
        <w:autoSpaceDN w:val="0"/>
        <w:adjustRightInd w:val="0"/>
        <w:ind w:left="720"/>
      </w:pPr>
    </w:p>
    <w:p w14:paraId="4FFDFD96" w14:textId="77777777" w:rsidR="00C70D10" w:rsidRDefault="00FD2389" w:rsidP="00EA5F9F">
      <w:pPr>
        <w:autoSpaceDE w:val="0"/>
        <w:autoSpaceDN w:val="0"/>
        <w:adjustRightInd w:val="0"/>
        <w:ind w:left="720"/>
      </w:pPr>
      <w:r>
        <w:t xml:space="preserve">2.3  </w:t>
      </w:r>
      <w:r w:rsidR="008C2CC6" w:rsidRPr="008A3313">
        <w:t xml:space="preserve">The assessment must be performed by a team which </w:t>
      </w:r>
      <w:r w:rsidR="00C70D10">
        <w:t xml:space="preserve">at a minimum </w:t>
      </w:r>
      <w:r w:rsidR="008C2CC6" w:rsidRPr="008A3313">
        <w:t>includes</w:t>
      </w:r>
      <w:r w:rsidR="00C70D10">
        <w:t>;</w:t>
      </w:r>
      <w:r w:rsidR="008C2CC6" w:rsidRPr="008A3313">
        <w:t xml:space="preserve"> </w:t>
      </w:r>
    </w:p>
    <w:p w14:paraId="4FFDFD97" w14:textId="77777777" w:rsidR="00C70D10" w:rsidRDefault="00C23968" w:rsidP="00336B71">
      <w:pPr>
        <w:pStyle w:val="ListParagraph"/>
        <w:numPr>
          <w:ilvl w:val="0"/>
          <w:numId w:val="26"/>
        </w:numPr>
        <w:autoSpaceDE w:val="0"/>
        <w:autoSpaceDN w:val="0"/>
        <w:adjustRightInd w:val="0"/>
        <w:ind w:left="1170" w:hanging="270"/>
      </w:pPr>
      <w:r>
        <w:lastRenderedPageBreak/>
        <w:t>an engineer</w:t>
      </w:r>
      <w:r w:rsidR="00CD1483">
        <w:t>/operations/maintenance person</w:t>
      </w:r>
      <w:r w:rsidR="00C70D10">
        <w:t xml:space="preserve">  </w:t>
      </w:r>
      <w:r w:rsidR="008C2CC6" w:rsidRPr="008A3313">
        <w:t>knowledgeable of the process and operations</w:t>
      </w:r>
    </w:p>
    <w:p w14:paraId="4FFDFD98" w14:textId="77777777" w:rsidR="00C70D10" w:rsidRDefault="00C70D10" w:rsidP="00336B71">
      <w:pPr>
        <w:pStyle w:val="ListParagraph"/>
        <w:numPr>
          <w:ilvl w:val="0"/>
          <w:numId w:val="26"/>
        </w:numPr>
        <w:autoSpaceDE w:val="0"/>
        <w:autoSpaceDN w:val="0"/>
        <w:adjustRightInd w:val="0"/>
        <w:ind w:left="1170" w:hanging="270"/>
      </w:pPr>
      <w:r>
        <w:t>an</w:t>
      </w:r>
      <w:r w:rsidR="008C2CC6" w:rsidRPr="008A3313">
        <w:t xml:space="preserve"> </w:t>
      </w:r>
      <w:r w:rsidR="00CD1483">
        <w:t xml:space="preserve">additional </w:t>
      </w:r>
      <w:r>
        <w:t xml:space="preserve">operations/ maintenance </w:t>
      </w:r>
      <w:r w:rsidR="008C2CC6" w:rsidRPr="008A3313">
        <w:t xml:space="preserve">person knowledgeable of </w:t>
      </w:r>
      <w:r w:rsidR="0004067C">
        <w:t xml:space="preserve">the specific material &amp;/or processing </w:t>
      </w:r>
      <w:r w:rsidR="008C2CC6" w:rsidRPr="008A3313">
        <w:t>hazards</w:t>
      </w:r>
    </w:p>
    <w:p w14:paraId="4FFDFD99" w14:textId="77777777" w:rsidR="008C2CC6" w:rsidRDefault="00C70D10" w:rsidP="00336B71">
      <w:pPr>
        <w:pStyle w:val="ListParagraph"/>
        <w:numPr>
          <w:ilvl w:val="0"/>
          <w:numId w:val="26"/>
        </w:numPr>
        <w:autoSpaceDE w:val="0"/>
        <w:autoSpaceDN w:val="0"/>
        <w:adjustRightInd w:val="0"/>
        <w:ind w:left="1170" w:hanging="270"/>
      </w:pPr>
      <w:r>
        <w:t>an individual</w:t>
      </w:r>
      <w:r w:rsidR="008C2CC6" w:rsidRPr="008A3313">
        <w:t xml:space="preserve"> </w:t>
      </w:r>
      <w:r w:rsidR="00CD1483">
        <w:t xml:space="preserve">trained and </w:t>
      </w:r>
      <w:r w:rsidR="008C2CC6" w:rsidRPr="008A3313">
        <w:t>familiar with performing risk assessments.</w:t>
      </w:r>
    </w:p>
    <w:p w14:paraId="4FFDFD9A" w14:textId="77777777" w:rsidR="005E6F69" w:rsidRDefault="005E6F69" w:rsidP="00EA5F9F">
      <w:pPr>
        <w:autoSpaceDE w:val="0"/>
        <w:autoSpaceDN w:val="0"/>
        <w:adjustRightInd w:val="0"/>
        <w:ind w:left="720"/>
      </w:pPr>
    </w:p>
    <w:p w14:paraId="4FFDFD9B" w14:textId="77777777" w:rsidR="005E6F69" w:rsidRDefault="00FD2389" w:rsidP="00EA5F9F">
      <w:pPr>
        <w:autoSpaceDE w:val="0"/>
        <w:autoSpaceDN w:val="0"/>
        <w:adjustRightInd w:val="0"/>
        <w:ind w:left="720"/>
      </w:pPr>
      <w:r>
        <w:t xml:space="preserve">2.4  </w:t>
      </w:r>
      <w:r w:rsidR="005E6F69">
        <w:t>CPH assessments shall follow a recognized and generally accepted good engineering practice (i.e. PHR, LOPA, JSA, Dust Hazard Assessment, etc.)</w:t>
      </w:r>
      <w:r>
        <w:t>, utilizing appropriate Process Safety Information pertinent to the process</w:t>
      </w:r>
      <w:r w:rsidR="005E6F69">
        <w:t>.</w:t>
      </w:r>
    </w:p>
    <w:p w14:paraId="4FFDFD9C" w14:textId="77777777" w:rsidR="00FD2389" w:rsidRDefault="00FD2389" w:rsidP="00EA5F9F">
      <w:pPr>
        <w:autoSpaceDE w:val="0"/>
        <w:autoSpaceDN w:val="0"/>
        <w:adjustRightInd w:val="0"/>
        <w:ind w:left="720"/>
      </w:pPr>
    </w:p>
    <w:p w14:paraId="4FFDFD9D" w14:textId="418F2851" w:rsidR="00FD2389" w:rsidRDefault="00FD2389" w:rsidP="00EA5F9F">
      <w:pPr>
        <w:autoSpaceDE w:val="0"/>
        <w:autoSpaceDN w:val="0"/>
        <w:adjustRightInd w:val="0"/>
        <w:ind w:left="720"/>
      </w:pPr>
      <w:r>
        <w:t>2.5  Recommendations and the action plans stemming from CPH assessments shall be reviewed and approved by management.  Action plans shall be resolved and tracked to completion</w:t>
      </w:r>
      <w:r w:rsidR="005B12E2">
        <w:t>, using the  CPH Assessment Guideline, located on the  CPH collabsite</w:t>
      </w:r>
      <w:r>
        <w:t>.</w:t>
      </w:r>
    </w:p>
    <w:p w14:paraId="4FFDFD9E" w14:textId="77777777" w:rsidR="003F5111" w:rsidRDefault="003F5111" w:rsidP="00EA5F9F">
      <w:pPr>
        <w:autoSpaceDE w:val="0"/>
        <w:autoSpaceDN w:val="0"/>
        <w:adjustRightInd w:val="0"/>
        <w:ind w:left="720"/>
      </w:pPr>
    </w:p>
    <w:p w14:paraId="4FFDFD9F" w14:textId="5C1D1660" w:rsidR="00011212" w:rsidRDefault="00FD2389" w:rsidP="00011212">
      <w:pPr>
        <w:pStyle w:val="DevMfgNormal"/>
        <w:keepNext/>
        <w:keepLines/>
        <w:autoSpaceDE w:val="0"/>
        <w:autoSpaceDN w:val="0"/>
        <w:adjustRightInd w:val="0"/>
        <w:spacing w:after="0"/>
        <w:ind w:left="720"/>
      </w:pPr>
      <w:r>
        <w:t xml:space="preserve">2.6 </w:t>
      </w:r>
      <w:r w:rsidR="007A7133">
        <w:t xml:space="preserve"> </w:t>
      </w:r>
      <w:r>
        <w:t>Documentation for c</w:t>
      </w:r>
      <w:r w:rsidR="003F5111">
        <w:t xml:space="preserve">ompleted </w:t>
      </w:r>
      <w:r w:rsidR="00150B5D">
        <w:t>CPH</w:t>
      </w:r>
      <w:r w:rsidR="003F5111">
        <w:t xml:space="preserve"> Assessments</w:t>
      </w:r>
      <w:r>
        <w:t xml:space="preserve"> (i.e. assessment documents, PSI, tracking documents, etc.) </w:t>
      </w:r>
      <w:r w:rsidR="00562435">
        <w:t xml:space="preserve"> shall be located on the </w:t>
      </w:r>
      <w:r w:rsidR="00011212">
        <w:t xml:space="preserve"> Process Safety Management </w:t>
      </w:r>
      <w:r w:rsidR="005B12E2">
        <w:t>or</w:t>
      </w:r>
      <w:r w:rsidR="00011212">
        <w:t xml:space="preserve"> the</w:t>
      </w:r>
      <w:r w:rsidR="00011212" w:rsidRPr="00045476">
        <w:t xml:space="preserve"> </w:t>
      </w:r>
      <w:r w:rsidR="00011212">
        <w:t xml:space="preserve">  HSE Support Services Steering Team or   HSE Support Services Steering Team collabsites</w:t>
      </w:r>
    </w:p>
    <w:p w14:paraId="4FFDFDA0" w14:textId="77777777" w:rsidR="008C2CC6" w:rsidRDefault="008C2CC6" w:rsidP="008C2CC6">
      <w:pPr>
        <w:autoSpaceDE w:val="0"/>
        <w:autoSpaceDN w:val="0"/>
        <w:adjustRightInd w:val="0"/>
        <w:ind w:left="720"/>
      </w:pPr>
    </w:p>
    <w:p w14:paraId="4FFDFDA1" w14:textId="77777777" w:rsidR="00CD1483" w:rsidRPr="008A3313" w:rsidRDefault="00CD1483" w:rsidP="008C2CC6">
      <w:pPr>
        <w:autoSpaceDE w:val="0"/>
        <w:autoSpaceDN w:val="0"/>
        <w:adjustRightInd w:val="0"/>
        <w:ind w:left="720"/>
      </w:pPr>
    </w:p>
    <w:p w14:paraId="4FFDFDA2" w14:textId="77777777" w:rsidR="008C2CC6" w:rsidRPr="008A3313" w:rsidRDefault="008C2CC6" w:rsidP="00CE6FA3">
      <w:pPr>
        <w:pStyle w:val="Heading2"/>
      </w:pPr>
      <w:bookmarkStart w:id="6" w:name="_Toc350753842"/>
      <w:r w:rsidRPr="008A3313">
        <w:t>Training and Procedures</w:t>
      </w:r>
      <w:bookmarkEnd w:id="6"/>
    </w:p>
    <w:p w14:paraId="4FFDFDA3" w14:textId="77777777" w:rsidR="008C2CC6" w:rsidRDefault="00562435" w:rsidP="008C2CC6">
      <w:pPr>
        <w:autoSpaceDE w:val="0"/>
        <w:autoSpaceDN w:val="0"/>
        <w:adjustRightInd w:val="0"/>
        <w:ind w:left="720"/>
      </w:pPr>
      <w:r>
        <w:t xml:space="preserve">3.1  </w:t>
      </w:r>
      <w:r w:rsidR="00E50DD6">
        <w:t xml:space="preserve">Upon completion of  a CPH Assessment, </w:t>
      </w:r>
      <w:r w:rsidR="008C2CC6" w:rsidRPr="008A3313">
        <w:t xml:space="preserve">Operating </w:t>
      </w:r>
      <w:r w:rsidR="00E50DD6">
        <w:t>P</w:t>
      </w:r>
      <w:r w:rsidR="008C2CC6" w:rsidRPr="008A3313">
        <w:t xml:space="preserve">rocedures must address </w:t>
      </w:r>
      <w:r w:rsidR="007366FB">
        <w:t xml:space="preserve"> CPH processes </w:t>
      </w:r>
      <w:r w:rsidR="0090064D">
        <w:t>c</w:t>
      </w:r>
      <w:r w:rsidR="007366FB">
        <w:t xml:space="preserve">atastrophic consequences of interest, </w:t>
      </w:r>
      <w:r w:rsidR="008C2CC6" w:rsidRPr="008A3313">
        <w:t>where applicable.</w:t>
      </w:r>
    </w:p>
    <w:p w14:paraId="4FFDFDA4" w14:textId="77777777" w:rsidR="00562435" w:rsidRPr="008A3313" w:rsidRDefault="00562435" w:rsidP="008C2CC6">
      <w:pPr>
        <w:autoSpaceDE w:val="0"/>
        <w:autoSpaceDN w:val="0"/>
        <w:adjustRightInd w:val="0"/>
        <w:ind w:left="720"/>
      </w:pPr>
    </w:p>
    <w:p w14:paraId="4FFDFDA5" w14:textId="77777777" w:rsidR="008C2CC6" w:rsidRDefault="00562435" w:rsidP="008C2CC6">
      <w:pPr>
        <w:autoSpaceDE w:val="0"/>
        <w:autoSpaceDN w:val="0"/>
        <w:adjustRightInd w:val="0"/>
        <w:ind w:left="720"/>
      </w:pPr>
      <w:r>
        <w:t xml:space="preserve">3.2  </w:t>
      </w:r>
      <w:r w:rsidR="00E50DD6">
        <w:t>Upon completion of a CPH Assessment, i</w:t>
      </w:r>
      <w:r w:rsidR="008C2CC6" w:rsidRPr="008A3313">
        <w:t>nitial and refresher</w:t>
      </w:r>
      <w:r w:rsidR="0090064D">
        <w:t xml:space="preserve"> procedures</w:t>
      </w:r>
      <w:r w:rsidR="008C2CC6" w:rsidRPr="008A3313">
        <w:t xml:space="preserve"> traini</w:t>
      </w:r>
      <w:r w:rsidR="00156B29">
        <w:t>ng must be provided to employees</w:t>
      </w:r>
      <w:r w:rsidR="007540AD">
        <w:t>,</w:t>
      </w:r>
      <w:r w:rsidR="008C2CC6" w:rsidRPr="008A3313">
        <w:t xml:space="preserve"> who operat</w:t>
      </w:r>
      <w:r w:rsidR="00156B29">
        <w:t>e CPH  processes</w:t>
      </w:r>
      <w:r w:rsidR="008C2CC6" w:rsidRPr="008A3313">
        <w:t xml:space="preserve"> and</w:t>
      </w:r>
      <w:r w:rsidR="00156B29">
        <w:t xml:space="preserve"> their immediate supervision.</w:t>
      </w:r>
    </w:p>
    <w:p w14:paraId="4FFDFDA6" w14:textId="77777777" w:rsidR="007366FB" w:rsidRDefault="007366FB" w:rsidP="008C2CC6">
      <w:pPr>
        <w:autoSpaceDE w:val="0"/>
        <w:autoSpaceDN w:val="0"/>
        <w:adjustRightInd w:val="0"/>
        <w:ind w:left="720"/>
      </w:pPr>
    </w:p>
    <w:p w14:paraId="4FFDFDA7" w14:textId="77777777" w:rsidR="00CD1483" w:rsidRPr="008A3313" w:rsidRDefault="00CD1483" w:rsidP="008C2CC6">
      <w:pPr>
        <w:autoSpaceDE w:val="0"/>
        <w:autoSpaceDN w:val="0"/>
        <w:adjustRightInd w:val="0"/>
        <w:ind w:left="720"/>
      </w:pPr>
    </w:p>
    <w:p w14:paraId="4FFDFDA8" w14:textId="77777777" w:rsidR="008C2CC6" w:rsidRPr="008A3313" w:rsidRDefault="008C2CC6" w:rsidP="00CE6FA3">
      <w:pPr>
        <w:pStyle w:val="Heading2"/>
      </w:pPr>
      <w:bookmarkStart w:id="7" w:name="_Toc350753843"/>
      <w:r w:rsidRPr="008A3313">
        <w:t>Maintenance Strategy</w:t>
      </w:r>
      <w:bookmarkEnd w:id="7"/>
    </w:p>
    <w:p w14:paraId="4FFDFDA9" w14:textId="79DAE613" w:rsidR="00156B29" w:rsidRPr="008A3313" w:rsidRDefault="00562435" w:rsidP="00156B29">
      <w:pPr>
        <w:autoSpaceDE w:val="0"/>
        <w:autoSpaceDN w:val="0"/>
        <w:adjustRightInd w:val="0"/>
        <w:ind w:left="720"/>
      </w:pPr>
      <w:r>
        <w:t xml:space="preserve">4.1  </w:t>
      </w:r>
      <w:r w:rsidR="00E50DD6">
        <w:t>Upon completion of a CPH Assessment, a</w:t>
      </w:r>
      <w:r w:rsidR="00156B29">
        <w:t xml:space="preserve"> list of PM’s wit</w:t>
      </w:r>
      <w:r w:rsidR="0004067C">
        <w:t>h</w:t>
      </w:r>
      <w:r w:rsidR="00156B29">
        <w:t xml:space="preserve"> a short description of the PM, the frequency of the PM and the reason for the frequency (i.e. reliability data, Codes &amp; Stds., Lilly MITI Guidelines, etc.) shall be</w:t>
      </w:r>
      <w:r w:rsidR="00E50DD6">
        <w:t xml:space="preserve"> created and</w:t>
      </w:r>
      <w:r w:rsidR="00156B29">
        <w:t xml:space="preserve"> kept on the</w:t>
      </w:r>
      <w:r w:rsidR="005B12E2">
        <w:t xml:space="preserve">  PSM or </w:t>
      </w:r>
      <w:r w:rsidR="00156B29">
        <w:t xml:space="preserve"> </w:t>
      </w:r>
      <w:r w:rsidR="005B12E2">
        <w:t xml:space="preserve"> Support Services</w:t>
      </w:r>
      <w:r w:rsidR="00156B29">
        <w:t xml:space="preserve"> </w:t>
      </w:r>
      <w:r w:rsidR="005B12E2">
        <w:t>or</w:t>
      </w:r>
      <w:r w:rsidR="00156B29">
        <w:t xml:space="preserve">    HSE Support Services collabsites.</w:t>
      </w:r>
      <w:r w:rsidR="005B12E2">
        <w:t xml:space="preserve">  A Maintenance List template located on the  CPH collabsite can be used</w:t>
      </w:r>
      <w:r w:rsidR="001C5D88">
        <w:t>.</w:t>
      </w:r>
      <w:r w:rsidR="005B12E2">
        <w:t xml:space="preserve"> </w:t>
      </w:r>
    </w:p>
    <w:p w14:paraId="4FFDFDAA" w14:textId="77777777" w:rsidR="00E07B05" w:rsidRPr="00E175C6" w:rsidRDefault="00E07B05" w:rsidP="00E07B05">
      <w:pPr>
        <w:tabs>
          <w:tab w:val="left" w:pos="-720"/>
          <w:tab w:val="left" w:pos="0"/>
          <w:tab w:val="left" w:pos="720"/>
        </w:tabs>
        <w:overflowPunct w:val="0"/>
        <w:autoSpaceDE w:val="0"/>
        <w:autoSpaceDN w:val="0"/>
        <w:adjustRightInd w:val="0"/>
        <w:ind w:left="360"/>
        <w:textAlignment w:val="baseline"/>
      </w:pPr>
    </w:p>
    <w:p w14:paraId="4FFDFDAB" w14:textId="77777777" w:rsidR="00E07B05" w:rsidRDefault="00045476" w:rsidP="007366FB">
      <w:pPr>
        <w:tabs>
          <w:tab w:val="left" w:pos="-720"/>
          <w:tab w:val="left" w:pos="0"/>
          <w:tab w:val="left" w:pos="720"/>
        </w:tabs>
        <w:overflowPunct w:val="0"/>
        <w:autoSpaceDE w:val="0"/>
        <w:autoSpaceDN w:val="0"/>
        <w:adjustRightInd w:val="0"/>
        <w:ind w:left="720"/>
        <w:textAlignment w:val="baseline"/>
      </w:pPr>
      <w:r>
        <w:t>4.</w:t>
      </w:r>
      <w:r w:rsidR="00825C79">
        <w:t>2</w:t>
      </w:r>
      <w:r w:rsidR="00562435">
        <w:t xml:space="preserve">  </w:t>
      </w:r>
      <w:r w:rsidR="007366FB">
        <w:t>R</w:t>
      </w:r>
      <w:r w:rsidR="00E07B05" w:rsidRPr="00E175C6">
        <w:t>ecords of maintenance and repairs performed</w:t>
      </w:r>
      <w:r w:rsidR="00E07B05">
        <w:t xml:space="preserve"> per Lilly record retention guidance</w:t>
      </w:r>
      <w:r w:rsidR="007366FB">
        <w:t xml:space="preserve"> shall be retained in </w:t>
      </w:r>
      <w:r w:rsidR="00825C79">
        <w:t>G</w:t>
      </w:r>
      <w:r w:rsidR="007366FB">
        <w:t>M</w:t>
      </w:r>
      <w:r w:rsidR="00E26E64">
        <w:t>ARS</w:t>
      </w:r>
      <w:r w:rsidR="007366FB">
        <w:t xml:space="preserve"> databases for CPH processes</w:t>
      </w:r>
      <w:r w:rsidR="00E07B05" w:rsidRPr="00E175C6">
        <w:t>.</w:t>
      </w:r>
    </w:p>
    <w:p w14:paraId="4FFDFDAC" w14:textId="77777777" w:rsidR="00156B29" w:rsidRDefault="00156B29" w:rsidP="007366FB">
      <w:pPr>
        <w:tabs>
          <w:tab w:val="left" w:pos="-720"/>
          <w:tab w:val="left" w:pos="0"/>
          <w:tab w:val="left" w:pos="720"/>
        </w:tabs>
        <w:overflowPunct w:val="0"/>
        <w:autoSpaceDE w:val="0"/>
        <w:autoSpaceDN w:val="0"/>
        <w:adjustRightInd w:val="0"/>
        <w:ind w:left="720"/>
        <w:textAlignment w:val="baseline"/>
      </w:pPr>
    </w:p>
    <w:p w14:paraId="4FFDFDAD" w14:textId="77777777" w:rsidR="00CD1483" w:rsidRDefault="00CD1483" w:rsidP="007366FB">
      <w:pPr>
        <w:tabs>
          <w:tab w:val="left" w:pos="-720"/>
          <w:tab w:val="left" w:pos="0"/>
          <w:tab w:val="left" w:pos="720"/>
        </w:tabs>
        <w:overflowPunct w:val="0"/>
        <w:autoSpaceDE w:val="0"/>
        <w:autoSpaceDN w:val="0"/>
        <w:adjustRightInd w:val="0"/>
        <w:ind w:left="720"/>
        <w:textAlignment w:val="baseline"/>
      </w:pPr>
    </w:p>
    <w:p w14:paraId="4FFDFDAE" w14:textId="77777777" w:rsidR="00636FDB" w:rsidRDefault="00636FDB" w:rsidP="00CE6FA3">
      <w:pPr>
        <w:pStyle w:val="Heading2"/>
      </w:pPr>
      <w:bookmarkStart w:id="8" w:name="_Toc350753844"/>
      <w:r w:rsidRPr="00A0226E">
        <w:t>c</w:t>
      </w:r>
      <w:r>
        <w:t xml:space="preserve">hanges in </w:t>
      </w:r>
      <w:r w:rsidR="007366FB">
        <w:t>CPH</w:t>
      </w:r>
      <w:r>
        <w:t xml:space="preserve"> processes</w:t>
      </w:r>
      <w:bookmarkEnd w:id="8"/>
      <w:r>
        <w:t xml:space="preserve"> </w:t>
      </w:r>
    </w:p>
    <w:p w14:paraId="4FFDFDAF" w14:textId="56B3FA86" w:rsidR="00636FDB" w:rsidRDefault="00636FDB" w:rsidP="00636FDB">
      <w:pPr>
        <w:ind w:left="720"/>
      </w:pPr>
      <w:r w:rsidRPr="00327357">
        <w:t>When a process involving</w:t>
      </w:r>
      <w:r w:rsidR="007366FB">
        <w:t xml:space="preserve"> a</w:t>
      </w:r>
      <w:r w:rsidRPr="00327357">
        <w:t xml:space="preserve"> </w:t>
      </w:r>
      <w:r w:rsidR="007366FB">
        <w:t>CPH</w:t>
      </w:r>
      <w:r w:rsidRPr="00327357">
        <w:t xml:space="preserve"> process is to be changed, including </w:t>
      </w:r>
      <w:r>
        <w:t xml:space="preserve">changes to </w:t>
      </w:r>
      <w:r w:rsidRPr="00327357">
        <w:t>materials, technology, equipment and procedures, the safety</w:t>
      </w:r>
      <w:r w:rsidR="00045476">
        <w:t xml:space="preserve"> and environmental</w:t>
      </w:r>
      <w:r w:rsidRPr="00327357">
        <w:t xml:space="preserve"> implications of the change </w:t>
      </w:r>
      <w:r>
        <w:t>shall</w:t>
      </w:r>
      <w:r w:rsidRPr="00327357">
        <w:t xml:space="preserve"> be evaluated and approved prior to implementation of the change</w:t>
      </w:r>
      <w:r>
        <w:t xml:space="preserve">, utilizing  Change Management </w:t>
      </w:r>
      <w:r w:rsidR="00D9407F">
        <w:t>Program</w:t>
      </w:r>
      <w:r>
        <w:t xml:space="preserve">, </w:t>
      </w:r>
      <w:r w:rsidR="00D9407F">
        <w:t>GPME-SOP-ADM-IN-CHGMGMT-3005</w:t>
      </w:r>
      <w:r w:rsidRPr="00327357">
        <w:t>.</w:t>
      </w:r>
    </w:p>
    <w:p w14:paraId="4FFDFDB0" w14:textId="77777777" w:rsidR="00D44E09" w:rsidRDefault="00D44E09" w:rsidP="00636FDB">
      <w:pPr>
        <w:ind w:left="720"/>
      </w:pPr>
    </w:p>
    <w:p w14:paraId="4FFDFDB1" w14:textId="77777777" w:rsidR="00CD1483" w:rsidRDefault="00CD1483" w:rsidP="00636FDB">
      <w:pPr>
        <w:ind w:left="720"/>
      </w:pPr>
    </w:p>
    <w:p w14:paraId="4FFDFDB2" w14:textId="77777777" w:rsidR="008C2CC6" w:rsidRDefault="008C2CC6" w:rsidP="00CE6FA3">
      <w:pPr>
        <w:pStyle w:val="Heading2"/>
      </w:pPr>
      <w:bookmarkStart w:id="9" w:name="_Toc350753845"/>
      <w:r w:rsidRPr="00A0226E">
        <w:t>c</w:t>
      </w:r>
      <w:r w:rsidR="007366FB">
        <w:t>PH Processes</w:t>
      </w:r>
      <w:r w:rsidR="0090064D">
        <w:t xml:space="preserve"> and investigations</w:t>
      </w:r>
      <w:bookmarkEnd w:id="9"/>
      <w:r w:rsidR="003F5111">
        <w:t xml:space="preserve"> </w:t>
      </w:r>
    </w:p>
    <w:p w14:paraId="4FFDFDB3" w14:textId="77777777" w:rsidR="00672E5B" w:rsidRDefault="00562435" w:rsidP="00672E5B">
      <w:pPr>
        <w:ind w:left="720"/>
      </w:pPr>
      <w:r>
        <w:t xml:space="preserve"> </w:t>
      </w:r>
      <w:r w:rsidR="0090064D">
        <w:t>I</w:t>
      </w:r>
      <w:r w:rsidR="0090064D" w:rsidRPr="004D1874">
        <w:t xml:space="preserve">f a </w:t>
      </w:r>
      <w:r w:rsidR="0004067C">
        <w:t xml:space="preserve">HSE </w:t>
      </w:r>
      <w:r w:rsidR="007366FB">
        <w:t>Level 2 or 3 event</w:t>
      </w:r>
      <w:r w:rsidR="007540AD">
        <w:t xml:space="preserve"> or a Level 2 Near Miss</w:t>
      </w:r>
      <w:r w:rsidR="007366FB">
        <w:t xml:space="preserve"> </w:t>
      </w:r>
      <w:r w:rsidR="007540AD">
        <w:t xml:space="preserve">event </w:t>
      </w:r>
      <w:r w:rsidR="0090064D" w:rsidRPr="004D1874">
        <w:t>occurs</w:t>
      </w:r>
      <w:r w:rsidR="007366FB">
        <w:t xml:space="preserve"> in a CPH process</w:t>
      </w:r>
      <w:r w:rsidR="00672E5B">
        <w:t>;</w:t>
      </w:r>
    </w:p>
    <w:p w14:paraId="4FFDFDB4" w14:textId="54B0C471" w:rsidR="00CD1483" w:rsidRDefault="0090064D" w:rsidP="003F5111">
      <w:pPr>
        <w:pStyle w:val="ListParagraph"/>
        <w:numPr>
          <w:ilvl w:val="0"/>
          <w:numId w:val="24"/>
        </w:numPr>
        <w:ind w:left="720"/>
      </w:pPr>
      <w:r>
        <w:lastRenderedPageBreak/>
        <w:t>a team-based</w:t>
      </w:r>
      <w:r w:rsidRPr="004D1874">
        <w:t xml:space="preserve"> </w:t>
      </w:r>
      <w:r>
        <w:t xml:space="preserve">root cause analysis (RCA) </w:t>
      </w:r>
      <w:r w:rsidRPr="004D1874">
        <w:t xml:space="preserve">investigation must be </w:t>
      </w:r>
      <w:r w:rsidRPr="00327357">
        <w:t>initiated within 48 hours of the even</w:t>
      </w:r>
      <w:r>
        <w:t>t, per  Managing Health, Safety &amp; Environmental Events Procedure, GPME-SOP--ADM-HSEEVENTS-6002</w:t>
      </w:r>
    </w:p>
    <w:p w14:paraId="4FFDFDB5" w14:textId="1CCCA164" w:rsidR="00636FDB" w:rsidRDefault="00011212" w:rsidP="003F5111">
      <w:pPr>
        <w:pStyle w:val="ListParagraph"/>
        <w:numPr>
          <w:ilvl w:val="0"/>
          <w:numId w:val="24"/>
        </w:numPr>
        <w:ind w:left="720"/>
      </w:pPr>
      <w:r>
        <w:t>t</w:t>
      </w:r>
      <w:r w:rsidR="0090064D" w:rsidRPr="00327357">
        <w:t xml:space="preserve">he process </w:t>
      </w:r>
      <w:r w:rsidR="0090064D">
        <w:t xml:space="preserve">where the </w:t>
      </w:r>
      <w:r w:rsidR="007366FB">
        <w:t>event has</w:t>
      </w:r>
      <w:r w:rsidR="0090064D">
        <w:t xml:space="preserve"> occurred </w:t>
      </w:r>
      <w:r w:rsidR="0090064D" w:rsidRPr="00327357">
        <w:t>must not be restart</w:t>
      </w:r>
      <w:r w:rsidR="0090064D">
        <w:t>ed</w:t>
      </w:r>
      <w:r w:rsidR="0090064D" w:rsidRPr="00327357">
        <w:t xml:space="preserve"> until </w:t>
      </w:r>
      <w:r w:rsidR="0090064D">
        <w:t>the</w:t>
      </w:r>
      <w:r w:rsidR="0090064D" w:rsidRPr="00327357">
        <w:t xml:space="preserve"> investigation </w:t>
      </w:r>
      <w:r w:rsidR="0090064D">
        <w:t>has identified</w:t>
      </w:r>
      <w:r w:rsidR="0090064D" w:rsidRPr="00327357">
        <w:t xml:space="preserve"> the root cause(s) and </w:t>
      </w:r>
      <w:r w:rsidR="0090064D">
        <w:t>actions</w:t>
      </w:r>
      <w:r w:rsidR="0090064D" w:rsidRPr="00327357">
        <w:t xml:space="preserve"> have been implemented to resolve the cause(s</w:t>
      </w:r>
      <w:r w:rsidR="007366FB">
        <w:t>)</w:t>
      </w:r>
      <w:r w:rsidR="00672E5B">
        <w:t>, unless authorized by the  or P Director of the area</w:t>
      </w:r>
      <w:r w:rsidR="007366FB">
        <w:t>.</w:t>
      </w:r>
    </w:p>
    <w:p w14:paraId="4FFDFDB6" w14:textId="77777777" w:rsidR="00636FDB" w:rsidRPr="003F5111" w:rsidRDefault="00636FDB" w:rsidP="003F5111">
      <w:pPr>
        <w:ind w:left="720"/>
      </w:pPr>
    </w:p>
    <w:p w14:paraId="4FFDFDB7" w14:textId="77777777" w:rsidR="008C2CC6" w:rsidRPr="008A3313" w:rsidRDefault="008C2CC6" w:rsidP="008C2CC6">
      <w:pPr>
        <w:autoSpaceDE w:val="0"/>
        <w:autoSpaceDN w:val="0"/>
        <w:adjustRightInd w:val="0"/>
        <w:ind w:left="720"/>
      </w:pPr>
    </w:p>
    <w:p w14:paraId="4FFDFDB8" w14:textId="77777777" w:rsidR="003F7BB5" w:rsidRDefault="00EB3F65" w:rsidP="003F7BB5">
      <w:pPr>
        <w:pStyle w:val="Heading1"/>
      </w:pPr>
      <w:bookmarkStart w:id="10" w:name="_Toc223339366"/>
      <w:r>
        <w:br w:type="page"/>
      </w:r>
      <w:bookmarkStart w:id="11" w:name="_Toc350753846"/>
      <w:r w:rsidR="003F7BB5">
        <w:lastRenderedPageBreak/>
        <w:t>References and Approvals</w:t>
      </w:r>
      <w:bookmarkEnd w:id="10"/>
      <w:bookmarkEnd w:id="11"/>
    </w:p>
    <w:tbl>
      <w:tblPr>
        <w:tblW w:w="5000" w:type="pct"/>
        <w:tblLook w:val="01E0" w:firstRow="1" w:lastRow="1" w:firstColumn="1" w:lastColumn="1" w:noHBand="0" w:noVBand="0"/>
      </w:tblPr>
      <w:tblGrid>
        <w:gridCol w:w="1955"/>
        <w:gridCol w:w="8341"/>
      </w:tblGrid>
      <w:tr w:rsidR="003F7BB5" w:rsidRPr="0002057F" w14:paraId="4FFDFDBD" w14:textId="77777777" w:rsidTr="007B1948">
        <w:tc>
          <w:tcPr>
            <w:tcW w:w="1818" w:type="dxa"/>
          </w:tcPr>
          <w:p w14:paraId="4FFDFDB9" w14:textId="77777777" w:rsidR="003F7BB5" w:rsidRPr="0002057F" w:rsidRDefault="003F7BB5" w:rsidP="009D4460">
            <w:pPr>
              <w:rPr>
                <w:rFonts w:ascii="Helvetica" w:eastAsia="Arial Unicode MS" w:hAnsi="Helvetica"/>
                <w:b/>
                <w:sz w:val="20"/>
                <w:szCs w:val="20"/>
              </w:rPr>
            </w:pPr>
            <w:r w:rsidRPr="0002057F">
              <w:rPr>
                <w:rFonts w:ascii="Arial" w:eastAsia="Arial Unicode MS" w:hAnsi="Arial"/>
                <w:b/>
                <w:sz w:val="20"/>
                <w:szCs w:val="20"/>
              </w:rPr>
              <w:t>R</w:t>
            </w:r>
            <w:r w:rsidRPr="0002057F">
              <w:rPr>
                <w:rFonts w:ascii="Helvetica" w:eastAsia="Arial Unicode MS" w:hAnsi="Helvetica"/>
                <w:b/>
                <w:sz w:val="20"/>
                <w:szCs w:val="20"/>
              </w:rPr>
              <w:t>eferences</w:t>
            </w:r>
          </w:p>
        </w:tc>
        <w:tc>
          <w:tcPr>
            <w:tcW w:w="7758" w:type="dxa"/>
          </w:tcPr>
          <w:p w14:paraId="4FFDFDBA" w14:textId="77777777" w:rsidR="007E7FE8" w:rsidRDefault="007E7FE8" w:rsidP="00F155DF">
            <w:pPr>
              <w:numPr>
                <w:ilvl w:val="0"/>
                <w:numId w:val="13"/>
              </w:numPr>
              <w:tabs>
                <w:tab w:val="clear" w:pos="1440"/>
              </w:tabs>
              <w:ind w:left="342"/>
              <w:rPr>
                <w:rFonts w:eastAsia="Arial Unicode MS"/>
              </w:rPr>
            </w:pPr>
            <w:r>
              <w:rPr>
                <w:rFonts w:eastAsia="Arial Unicode MS"/>
              </w:rPr>
              <w:t>Eli Lilly HSE Management System Standard</w:t>
            </w:r>
            <w:r w:rsidR="007540AD">
              <w:rPr>
                <w:rFonts w:eastAsia="Arial Unicode MS"/>
              </w:rPr>
              <w:t>, HSE-STD-100</w:t>
            </w:r>
          </w:p>
          <w:p w14:paraId="4FFDFDBB" w14:textId="71582FE0" w:rsidR="00D9407F" w:rsidRPr="00D9407F" w:rsidRDefault="00D9407F" w:rsidP="00F155DF">
            <w:pPr>
              <w:numPr>
                <w:ilvl w:val="0"/>
                <w:numId w:val="13"/>
              </w:numPr>
              <w:tabs>
                <w:tab w:val="clear" w:pos="1440"/>
              </w:tabs>
              <w:ind w:left="342"/>
              <w:rPr>
                <w:rFonts w:eastAsia="Arial Unicode MS"/>
              </w:rPr>
            </w:pPr>
            <w:r>
              <w:t xml:space="preserve"> Change Management Program, GPME-SOP-ADM-IN-CHGMGMT-3005</w:t>
            </w:r>
          </w:p>
          <w:p w14:paraId="4FFDFDBC" w14:textId="0A1CC636" w:rsidR="00D9407F" w:rsidRPr="0002057F" w:rsidRDefault="00D9407F" w:rsidP="00F155DF">
            <w:pPr>
              <w:numPr>
                <w:ilvl w:val="0"/>
                <w:numId w:val="13"/>
              </w:numPr>
              <w:tabs>
                <w:tab w:val="clear" w:pos="1440"/>
              </w:tabs>
              <w:ind w:left="342"/>
              <w:rPr>
                <w:rFonts w:eastAsia="Arial Unicode MS"/>
              </w:rPr>
            </w:pPr>
            <w:r>
              <w:t xml:space="preserve"> Managing Health, Safety &amp; Environmental Events Procedure, GPME-SOP--ADM-HSEEVENTS-6002</w:t>
            </w:r>
          </w:p>
        </w:tc>
      </w:tr>
    </w:tbl>
    <w:p w14:paraId="4FFDFDBE" w14:textId="77777777" w:rsidR="003F7BB5" w:rsidRDefault="003F7BB5" w:rsidP="003F7BB5">
      <w:pPr>
        <w:pStyle w:val="separator"/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955"/>
        <w:gridCol w:w="8341"/>
      </w:tblGrid>
      <w:tr w:rsidR="003F7BB5" w:rsidRPr="0002057F" w14:paraId="4FFDFDC2" w14:textId="77777777" w:rsidTr="007B1948">
        <w:tc>
          <w:tcPr>
            <w:tcW w:w="1818" w:type="dxa"/>
          </w:tcPr>
          <w:p w14:paraId="4FFDFDBF" w14:textId="77777777" w:rsidR="003F7BB5" w:rsidRPr="0002057F" w:rsidRDefault="003F7BB5" w:rsidP="009D4460">
            <w:pPr>
              <w:rPr>
                <w:rFonts w:ascii="Helvetica" w:eastAsia="Arial Unicode MS" w:hAnsi="Helvetica"/>
                <w:b/>
                <w:sz w:val="20"/>
                <w:szCs w:val="20"/>
              </w:rPr>
            </w:pPr>
            <w:r w:rsidRPr="0002057F">
              <w:rPr>
                <w:rFonts w:ascii="Helvetica" w:eastAsia="Arial Unicode MS" w:hAnsi="Helvetica"/>
                <w:b/>
                <w:sz w:val="20"/>
                <w:szCs w:val="20"/>
              </w:rPr>
              <w:t>Contacts</w:t>
            </w:r>
          </w:p>
        </w:tc>
        <w:tc>
          <w:tcPr>
            <w:tcW w:w="7758" w:type="dxa"/>
          </w:tcPr>
          <w:p w14:paraId="4FFDFDC1" w14:textId="1E302398" w:rsidR="00F82751" w:rsidRPr="006E39A2" w:rsidRDefault="00F82751" w:rsidP="00831F53">
            <w:pPr>
              <w:rPr>
                <w:rFonts w:eastAsia="Arial Unicode MS"/>
              </w:rPr>
            </w:pPr>
          </w:p>
        </w:tc>
      </w:tr>
    </w:tbl>
    <w:p w14:paraId="4FFDFDC3" w14:textId="77777777" w:rsidR="00752B5D" w:rsidRDefault="00752B5D" w:rsidP="00752B5D">
      <w:pPr>
        <w:pStyle w:val="separator"/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955"/>
        <w:gridCol w:w="8341"/>
      </w:tblGrid>
      <w:tr w:rsidR="00752B5D" w:rsidRPr="0002057F" w14:paraId="4FFDFDC8" w14:textId="77777777" w:rsidTr="007B1948">
        <w:tc>
          <w:tcPr>
            <w:tcW w:w="1818" w:type="dxa"/>
          </w:tcPr>
          <w:p w14:paraId="4FFDFDC4" w14:textId="77777777" w:rsidR="00752B5D" w:rsidRPr="0002057F" w:rsidRDefault="00752B5D" w:rsidP="008C2CC6">
            <w:pPr>
              <w:rPr>
                <w:rFonts w:ascii="Helvetica" w:eastAsia="Arial Unicode MS" w:hAnsi="Helvetica"/>
                <w:b/>
                <w:sz w:val="20"/>
                <w:szCs w:val="20"/>
              </w:rPr>
            </w:pPr>
            <w:r>
              <w:rPr>
                <w:rFonts w:ascii="Helvetica" w:eastAsia="Arial Unicode MS" w:hAnsi="Helvetica"/>
                <w:b/>
                <w:sz w:val="20"/>
                <w:szCs w:val="20"/>
              </w:rPr>
              <w:t>Reviewer</w:t>
            </w:r>
            <w:r w:rsidRPr="0002057F">
              <w:rPr>
                <w:rFonts w:ascii="Helvetica" w:eastAsia="Arial Unicode MS" w:hAnsi="Helvetica"/>
                <w:b/>
                <w:sz w:val="20"/>
                <w:szCs w:val="20"/>
              </w:rPr>
              <w:t>s</w:t>
            </w:r>
          </w:p>
        </w:tc>
        <w:tc>
          <w:tcPr>
            <w:tcW w:w="7758" w:type="dxa"/>
          </w:tcPr>
          <w:p w14:paraId="4FFDFDC5" w14:textId="77777777" w:rsidR="00752B5D" w:rsidRPr="0002057F" w:rsidRDefault="00752B5D" w:rsidP="008C2CC6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Reviewer completion</w:t>
            </w:r>
            <w:r w:rsidRPr="0002057F">
              <w:rPr>
                <w:rFonts w:eastAsia="Arial Unicode MS"/>
              </w:rPr>
              <w:t xml:space="preserve"> of </w:t>
            </w:r>
            <w:r w:rsidR="00EB3F65" w:rsidRPr="0032019C">
              <w:t>GPME-SOP</w:t>
            </w:r>
            <w:r w:rsidR="00EB3F65">
              <w:t>-SAF</w:t>
            </w:r>
            <w:r w:rsidR="00EB3F65" w:rsidRPr="0032019C">
              <w:t>-</w:t>
            </w:r>
            <w:r w:rsidR="00EB3F65">
              <w:t>C</w:t>
            </w:r>
            <w:r w:rsidR="007540AD">
              <w:t>P</w:t>
            </w:r>
            <w:r w:rsidR="003219AC">
              <w:t>H</w:t>
            </w:r>
            <w:r w:rsidR="007540AD">
              <w:t>P</w:t>
            </w:r>
            <w:r w:rsidR="00EB3F65" w:rsidRPr="0032019C">
              <w:t>-</w:t>
            </w:r>
            <w:r w:rsidR="00EB3F65">
              <w:t>101</w:t>
            </w:r>
            <w:r w:rsidR="007540AD">
              <w:t>7</w:t>
            </w:r>
            <w:r w:rsidR="00EB3F65">
              <w:t xml:space="preserve"> </w:t>
            </w:r>
            <w:r w:rsidRPr="0002057F">
              <w:rPr>
                <w:rFonts w:eastAsia="Arial Unicode MS"/>
              </w:rPr>
              <w:t>requires the signatures of:</w:t>
            </w:r>
          </w:p>
          <w:p w14:paraId="4FFDFDC6" w14:textId="77777777" w:rsidR="00752B5D" w:rsidRPr="0002057F" w:rsidRDefault="007329AC" w:rsidP="00752B5D">
            <w:pPr>
              <w:numPr>
                <w:ilvl w:val="0"/>
                <w:numId w:val="12"/>
              </w:numPr>
              <w:tabs>
                <w:tab w:val="clear" w:pos="1440"/>
              </w:tabs>
              <w:ind w:left="342"/>
              <w:rPr>
                <w:rFonts w:eastAsia="Arial Unicode MS"/>
              </w:rPr>
            </w:pPr>
            <w:r>
              <w:rPr>
                <w:rFonts w:eastAsia="Arial Unicode MS"/>
              </w:rPr>
              <w:t>Consultant</w:t>
            </w:r>
            <w:r w:rsidR="00045476">
              <w:rPr>
                <w:rFonts w:eastAsia="Arial Unicode MS"/>
              </w:rPr>
              <w:t>/ Associate Consultant</w:t>
            </w:r>
            <w:r>
              <w:rPr>
                <w:rFonts w:eastAsia="Arial Unicode MS"/>
              </w:rPr>
              <w:t>, Health and Safety</w:t>
            </w:r>
          </w:p>
          <w:p w14:paraId="4FFDFDC7" w14:textId="77777777" w:rsidR="00752B5D" w:rsidRPr="00AE0B35" w:rsidRDefault="006E39A2" w:rsidP="00AE0B35">
            <w:pPr>
              <w:numPr>
                <w:ilvl w:val="0"/>
                <w:numId w:val="12"/>
              </w:numPr>
              <w:tabs>
                <w:tab w:val="clear" w:pos="1440"/>
              </w:tabs>
              <w:ind w:left="342"/>
              <w:rPr>
                <w:rFonts w:eastAsia="Arial Unicode MS"/>
              </w:rPr>
            </w:pPr>
            <w:r>
              <w:rPr>
                <w:rFonts w:eastAsia="Arial Unicode MS"/>
              </w:rPr>
              <w:t>Consultant</w:t>
            </w:r>
            <w:r w:rsidR="00045476">
              <w:rPr>
                <w:rFonts w:eastAsia="Arial Unicode MS"/>
              </w:rPr>
              <w:t>/ Associate Consultant</w:t>
            </w:r>
            <w:r>
              <w:rPr>
                <w:rFonts w:eastAsia="Arial Unicode MS"/>
              </w:rPr>
              <w:t>, Environmental</w:t>
            </w:r>
          </w:p>
        </w:tc>
      </w:tr>
    </w:tbl>
    <w:p w14:paraId="4FFDFDC9" w14:textId="77777777" w:rsidR="00752B5D" w:rsidRDefault="00752B5D" w:rsidP="00752B5D">
      <w:pPr>
        <w:pStyle w:val="separator"/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955"/>
        <w:gridCol w:w="8341"/>
      </w:tblGrid>
      <w:tr w:rsidR="00752B5D" w:rsidRPr="0002057F" w14:paraId="4FFDFDCE" w14:textId="77777777" w:rsidTr="007B1948">
        <w:tc>
          <w:tcPr>
            <w:tcW w:w="1818" w:type="dxa"/>
          </w:tcPr>
          <w:p w14:paraId="4FFDFDCA" w14:textId="77777777" w:rsidR="00752B5D" w:rsidRPr="0002057F" w:rsidRDefault="00752B5D" w:rsidP="008C2CC6">
            <w:pPr>
              <w:rPr>
                <w:rFonts w:ascii="Helvetica" w:eastAsia="Arial Unicode MS" w:hAnsi="Helvetica"/>
                <w:b/>
                <w:sz w:val="20"/>
                <w:szCs w:val="20"/>
              </w:rPr>
            </w:pPr>
            <w:r w:rsidRPr="0002057F">
              <w:rPr>
                <w:rFonts w:ascii="Helvetica" w:eastAsia="Arial Unicode MS" w:hAnsi="Helvetica"/>
                <w:b/>
                <w:sz w:val="20"/>
                <w:szCs w:val="20"/>
              </w:rPr>
              <w:t>Approvals</w:t>
            </w:r>
          </w:p>
        </w:tc>
        <w:tc>
          <w:tcPr>
            <w:tcW w:w="7758" w:type="dxa"/>
          </w:tcPr>
          <w:p w14:paraId="4FFDFDCB" w14:textId="77777777" w:rsidR="00752B5D" w:rsidRPr="0002057F" w:rsidRDefault="00752B5D" w:rsidP="008C2CC6">
            <w:pPr>
              <w:rPr>
                <w:rFonts w:eastAsia="Arial Unicode MS"/>
              </w:rPr>
            </w:pPr>
            <w:r w:rsidRPr="0002057F">
              <w:rPr>
                <w:rFonts w:eastAsia="Arial Unicode MS"/>
              </w:rPr>
              <w:t xml:space="preserve">Approval of </w:t>
            </w:r>
            <w:r w:rsidR="00EB3F65" w:rsidRPr="0032019C">
              <w:t>GPME-SOP</w:t>
            </w:r>
            <w:r w:rsidR="00EB3F65">
              <w:t>-SAF</w:t>
            </w:r>
            <w:r w:rsidR="00EB3F65" w:rsidRPr="0032019C">
              <w:t>-</w:t>
            </w:r>
            <w:r w:rsidR="00EB3F65">
              <w:t>C</w:t>
            </w:r>
            <w:r w:rsidR="007540AD">
              <w:t>P</w:t>
            </w:r>
            <w:r w:rsidR="003219AC">
              <w:t>H</w:t>
            </w:r>
            <w:r w:rsidR="007540AD">
              <w:t>P</w:t>
            </w:r>
            <w:r w:rsidR="00EB3F65" w:rsidRPr="0032019C">
              <w:t>-</w:t>
            </w:r>
            <w:r w:rsidR="00EB3F65">
              <w:t>101</w:t>
            </w:r>
            <w:r w:rsidR="007540AD">
              <w:t>7</w:t>
            </w:r>
            <w:r w:rsidR="00EB3F65">
              <w:t xml:space="preserve"> </w:t>
            </w:r>
            <w:r w:rsidRPr="0002057F">
              <w:rPr>
                <w:rFonts w:eastAsia="Arial Unicode MS"/>
              </w:rPr>
              <w:t>requires the signatures of:</w:t>
            </w:r>
          </w:p>
          <w:p w14:paraId="4FFDFDCC" w14:textId="77777777" w:rsidR="00752B5D" w:rsidRPr="0002057F" w:rsidRDefault="007329AC" w:rsidP="008C2CC6">
            <w:pPr>
              <w:numPr>
                <w:ilvl w:val="0"/>
                <w:numId w:val="11"/>
              </w:numPr>
              <w:tabs>
                <w:tab w:val="clear" w:pos="1440"/>
              </w:tabs>
              <w:ind w:left="342"/>
              <w:rPr>
                <w:rFonts w:eastAsia="Arial Unicode MS"/>
              </w:rPr>
            </w:pPr>
            <w:r>
              <w:rPr>
                <w:rFonts w:eastAsia="Arial Unicode MS"/>
              </w:rPr>
              <w:t>Manager, Health and Safety</w:t>
            </w:r>
          </w:p>
          <w:p w14:paraId="4FFDFDCD" w14:textId="77777777" w:rsidR="00752B5D" w:rsidRPr="0002057F" w:rsidRDefault="00AE0B35" w:rsidP="006E39A2">
            <w:pPr>
              <w:numPr>
                <w:ilvl w:val="0"/>
                <w:numId w:val="11"/>
              </w:numPr>
              <w:tabs>
                <w:tab w:val="clear" w:pos="1440"/>
              </w:tabs>
              <w:ind w:left="342"/>
              <w:rPr>
                <w:rFonts w:eastAsia="Arial Unicode MS"/>
              </w:rPr>
            </w:pPr>
            <w:r>
              <w:rPr>
                <w:rFonts w:eastAsia="Arial Unicode MS"/>
              </w:rPr>
              <w:t>Manager</w:t>
            </w:r>
            <w:r w:rsidR="006E39A2">
              <w:rPr>
                <w:rFonts w:eastAsia="Arial Unicode MS"/>
              </w:rPr>
              <w:t>, Environmental</w:t>
            </w:r>
          </w:p>
        </w:tc>
      </w:tr>
    </w:tbl>
    <w:p w14:paraId="4FFDFDCF" w14:textId="77777777" w:rsidR="00D266E8" w:rsidRDefault="00D266E8" w:rsidP="00EB3F65">
      <w:pPr>
        <w:rPr>
          <w:rFonts w:eastAsia="Arial Unicode MS"/>
        </w:rPr>
      </w:pPr>
    </w:p>
    <w:sectPr w:rsidR="00D266E8" w:rsidSect="00DF153C">
      <w:pgSz w:w="12240" w:h="15840" w:code="1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FDFDD4" w14:textId="77777777" w:rsidR="003B4558" w:rsidRDefault="003B4558">
      <w:r>
        <w:separator/>
      </w:r>
    </w:p>
  </w:endnote>
  <w:endnote w:type="continuationSeparator" w:id="0">
    <w:p w14:paraId="4FFDFDD5" w14:textId="77777777" w:rsidR="003B4558" w:rsidRDefault="003B4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58" w:type="dxa"/>
        <w:right w:w="58" w:type="dxa"/>
      </w:tblCellMar>
      <w:tblLook w:val="01E0" w:firstRow="1" w:lastRow="1" w:firstColumn="1" w:lastColumn="1" w:noHBand="0" w:noVBand="0"/>
    </w:tblPr>
    <w:tblGrid>
      <w:gridCol w:w="5427"/>
      <w:gridCol w:w="1463"/>
      <w:gridCol w:w="3306"/>
    </w:tblGrid>
    <w:tr w:rsidR="00DF153C" w:rsidRPr="0002057F" w14:paraId="4FFDFDDC" w14:textId="77777777" w:rsidTr="00DF153C">
      <w:trPr>
        <w:trHeight w:val="278"/>
      </w:trPr>
      <w:tc>
        <w:tcPr>
          <w:tcW w:w="5008" w:type="dxa"/>
          <w:vMerge w:val="restart"/>
        </w:tcPr>
        <w:p w14:paraId="4FFDFDD8" w14:textId="77777777" w:rsidR="00DF153C" w:rsidRDefault="00DF153C" w:rsidP="0002057F">
          <w:pPr>
            <w:pStyle w:val="Footer"/>
            <w:ind w:right="360"/>
            <w:rPr>
              <w:rFonts w:ascii="Arial" w:hAnsi="Arial" w:cs="Arial"/>
              <w:sz w:val="16"/>
              <w:szCs w:val="16"/>
            </w:rPr>
          </w:pPr>
          <w:r w:rsidRPr="0002057F">
            <w:rPr>
              <w:rFonts w:ascii="Arial" w:hAnsi="Arial" w:cs="Arial"/>
              <w:sz w:val="16"/>
              <w:szCs w:val="16"/>
            </w:rPr>
            <w:t xml:space="preserve">Document Title:  </w:t>
          </w:r>
          <w:r w:rsidR="00B315FF">
            <w:rPr>
              <w:rFonts w:ascii="Arial" w:hAnsi="Arial" w:cs="Arial"/>
              <w:sz w:val="16"/>
              <w:szCs w:val="16"/>
            </w:rPr>
            <w:t>Catastrophic Potential</w:t>
          </w:r>
          <w:r w:rsidR="003219AC">
            <w:rPr>
              <w:rFonts w:ascii="Arial" w:hAnsi="Arial" w:cs="Arial"/>
              <w:sz w:val="16"/>
              <w:szCs w:val="16"/>
            </w:rPr>
            <w:t xml:space="preserve"> Hazard</w:t>
          </w:r>
          <w:r w:rsidR="00B315FF">
            <w:rPr>
              <w:rFonts w:ascii="Arial" w:hAnsi="Arial" w:cs="Arial"/>
              <w:sz w:val="16"/>
              <w:szCs w:val="16"/>
            </w:rPr>
            <w:t>s</w:t>
          </w:r>
          <w:r w:rsidR="003219AC">
            <w:rPr>
              <w:rFonts w:ascii="Arial" w:hAnsi="Arial" w:cs="Arial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sz w:val="16"/>
              <w:szCs w:val="16"/>
            </w:rPr>
            <w:t>Pr</w:t>
          </w:r>
          <w:r w:rsidR="003219AC">
            <w:rPr>
              <w:rFonts w:ascii="Arial" w:hAnsi="Arial" w:cs="Arial"/>
              <w:sz w:val="16"/>
              <w:szCs w:val="16"/>
            </w:rPr>
            <w:t>ogram</w:t>
          </w:r>
        </w:p>
        <w:p w14:paraId="4FFDFDD9" w14:textId="77777777" w:rsidR="00DF153C" w:rsidRPr="00DF153C" w:rsidRDefault="00DF153C" w:rsidP="00FC1C1F">
          <w:pPr>
            <w:pStyle w:val="Footer"/>
            <w:ind w:right="360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GPME-SOP-SAF-CP</w:t>
          </w:r>
          <w:r w:rsidR="00FC1C1F">
            <w:rPr>
              <w:rFonts w:ascii="Arial" w:hAnsi="Arial" w:cs="Arial"/>
              <w:sz w:val="16"/>
              <w:szCs w:val="16"/>
            </w:rPr>
            <w:t>HP</w:t>
          </w:r>
          <w:r>
            <w:rPr>
              <w:rFonts w:ascii="Arial" w:hAnsi="Arial" w:cs="Arial"/>
              <w:sz w:val="16"/>
              <w:szCs w:val="16"/>
            </w:rPr>
            <w:t>-101</w:t>
          </w:r>
          <w:r w:rsidR="00FC1C1F">
            <w:rPr>
              <w:rFonts w:ascii="Arial" w:hAnsi="Arial" w:cs="Arial"/>
              <w:sz w:val="16"/>
              <w:szCs w:val="16"/>
            </w:rPr>
            <w:t>7</w:t>
          </w:r>
        </w:p>
      </w:tc>
      <w:tc>
        <w:tcPr>
          <w:tcW w:w="1350" w:type="dxa"/>
          <w:vMerge w:val="restart"/>
          <w:vAlign w:val="bottom"/>
        </w:tcPr>
        <w:p w14:paraId="4FFDFDDA" w14:textId="77777777" w:rsidR="00DF153C" w:rsidRPr="0002057F" w:rsidRDefault="00DF153C" w:rsidP="00DF153C">
          <w:pPr>
            <w:pStyle w:val="Footer"/>
            <w:ind w:right="360"/>
            <w:jc w:val="center"/>
            <w:rPr>
              <w:rFonts w:ascii="Arial" w:hAnsi="Arial" w:cs="Arial"/>
              <w:color w:val="808080"/>
              <w:sz w:val="18"/>
              <w:szCs w:val="18"/>
            </w:rPr>
          </w:pPr>
          <w:r w:rsidRPr="0002057F">
            <w:rPr>
              <w:rFonts w:ascii="Arial" w:hAnsi="Arial" w:cs="Arial"/>
              <w:color w:val="000000"/>
              <w:sz w:val="16"/>
              <w:szCs w:val="16"/>
            </w:rPr>
            <w:t xml:space="preserve">Page </w:t>
          </w:r>
          <w:r w:rsidR="00457CE4" w:rsidRPr="0002057F">
            <w:rPr>
              <w:rFonts w:ascii="Arial" w:hAnsi="Arial" w:cs="Arial"/>
              <w:color w:val="000000"/>
              <w:sz w:val="16"/>
              <w:szCs w:val="16"/>
            </w:rPr>
            <w:fldChar w:fldCharType="begin"/>
          </w:r>
          <w:r w:rsidRPr="0002057F">
            <w:rPr>
              <w:rFonts w:ascii="Arial" w:hAnsi="Arial" w:cs="Arial"/>
              <w:color w:val="000000"/>
              <w:sz w:val="16"/>
              <w:szCs w:val="16"/>
            </w:rPr>
            <w:instrText xml:space="preserve"> PAGE </w:instrText>
          </w:r>
          <w:r w:rsidR="00457CE4" w:rsidRPr="0002057F">
            <w:rPr>
              <w:rFonts w:ascii="Arial" w:hAnsi="Arial" w:cs="Arial"/>
              <w:color w:val="000000"/>
              <w:sz w:val="16"/>
              <w:szCs w:val="16"/>
            </w:rPr>
            <w:fldChar w:fldCharType="separate"/>
          </w:r>
          <w:r w:rsidR="004A1087">
            <w:rPr>
              <w:rFonts w:ascii="Arial" w:hAnsi="Arial" w:cs="Arial"/>
              <w:noProof/>
              <w:color w:val="000000"/>
              <w:sz w:val="16"/>
              <w:szCs w:val="16"/>
            </w:rPr>
            <w:t>3</w:t>
          </w:r>
          <w:r w:rsidR="00457CE4" w:rsidRPr="0002057F">
            <w:rPr>
              <w:rFonts w:ascii="Arial" w:hAnsi="Arial" w:cs="Arial"/>
              <w:color w:val="000000"/>
              <w:sz w:val="16"/>
              <w:szCs w:val="16"/>
            </w:rPr>
            <w:fldChar w:fldCharType="end"/>
          </w:r>
          <w:r w:rsidRPr="0002057F">
            <w:rPr>
              <w:rFonts w:ascii="Arial" w:hAnsi="Arial" w:cs="Arial"/>
              <w:color w:val="000000"/>
              <w:sz w:val="16"/>
              <w:szCs w:val="16"/>
            </w:rPr>
            <w:t xml:space="preserve"> of </w:t>
          </w:r>
          <w:r w:rsidR="00457CE4" w:rsidRPr="0002057F">
            <w:rPr>
              <w:rFonts w:ascii="Arial" w:hAnsi="Arial" w:cs="Arial"/>
              <w:color w:val="000000"/>
              <w:sz w:val="16"/>
              <w:szCs w:val="16"/>
            </w:rPr>
            <w:fldChar w:fldCharType="begin"/>
          </w:r>
          <w:r w:rsidRPr="0002057F">
            <w:rPr>
              <w:rFonts w:ascii="Arial" w:hAnsi="Arial" w:cs="Arial"/>
              <w:color w:val="000000"/>
              <w:sz w:val="16"/>
              <w:szCs w:val="16"/>
            </w:rPr>
            <w:instrText xml:space="preserve"> NUMPAGES </w:instrText>
          </w:r>
          <w:r w:rsidR="00457CE4" w:rsidRPr="0002057F">
            <w:rPr>
              <w:rFonts w:ascii="Arial" w:hAnsi="Arial" w:cs="Arial"/>
              <w:color w:val="000000"/>
              <w:sz w:val="16"/>
              <w:szCs w:val="16"/>
            </w:rPr>
            <w:fldChar w:fldCharType="separate"/>
          </w:r>
          <w:r w:rsidR="004A1087">
            <w:rPr>
              <w:rFonts w:ascii="Arial" w:hAnsi="Arial" w:cs="Arial"/>
              <w:noProof/>
              <w:color w:val="000000"/>
              <w:sz w:val="16"/>
              <w:szCs w:val="16"/>
            </w:rPr>
            <w:t>7</w:t>
          </w:r>
          <w:r w:rsidR="00457CE4" w:rsidRPr="0002057F">
            <w:rPr>
              <w:rFonts w:ascii="Arial" w:hAnsi="Arial" w:cs="Arial"/>
              <w:color w:val="000000"/>
              <w:sz w:val="16"/>
              <w:szCs w:val="16"/>
            </w:rPr>
            <w:fldChar w:fldCharType="end"/>
          </w:r>
        </w:p>
      </w:tc>
      <w:tc>
        <w:tcPr>
          <w:tcW w:w="3051" w:type="dxa"/>
        </w:tcPr>
        <w:p w14:paraId="4FFDFDDB" w14:textId="77777777" w:rsidR="00DF153C" w:rsidRPr="0002057F" w:rsidRDefault="00DF153C" w:rsidP="00DF153C">
          <w:pPr>
            <w:pStyle w:val="Footer"/>
            <w:ind w:right="180"/>
            <w:jc w:val="right"/>
            <w:rPr>
              <w:rFonts w:ascii="Arial" w:hAnsi="Arial" w:cs="Arial"/>
              <w:color w:val="000000"/>
              <w:sz w:val="16"/>
              <w:szCs w:val="16"/>
            </w:rPr>
          </w:pPr>
          <w:r w:rsidRPr="0002057F">
            <w:rPr>
              <w:rFonts w:ascii="Arial" w:hAnsi="Arial" w:cs="Arial"/>
              <w:sz w:val="16"/>
              <w:szCs w:val="16"/>
            </w:rPr>
            <w:t>Location:  Regulus</w:t>
          </w:r>
        </w:p>
      </w:tc>
    </w:tr>
    <w:tr w:rsidR="00DF153C" w:rsidRPr="0002057F" w14:paraId="4FFDFDE0" w14:textId="77777777" w:rsidTr="00DF153C">
      <w:trPr>
        <w:trHeight w:val="277"/>
      </w:trPr>
      <w:tc>
        <w:tcPr>
          <w:tcW w:w="5008" w:type="dxa"/>
          <w:vMerge/>
        </w:tcPr>
        <w:p w14:paraId="4FFDFDDD" w14:textId="77777777" w:rsidR="00DF153C" w:rsidRPr="0002057F" w:rsidRDefault="00DF153C" w:rsidP="0002057F">
          <w:pPr>
            <w:pStyle w:val="Footer"/>
            <w:ind w:right="360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350" w:type="dxa"/>
          <w:vMerge/>
          <w:vAlign w:val="bottom"/>
        </w:tcPr>
        <w:p w14:paraId="4FFDFDDE" w14:textId="77777777" w:rsidR="00DF153C" w:rsidRPr="0002057F" w:rsidRDefault="00DF153C" w:rsidP="00DF153C">
          <w:pPr>
            <w:pStyle w:val="Footer"/>
            <w:ind w:right="360"/>
            <w:jc w:val="center"/>
            <w:rPr>
              <w:rFonts w:ascii="Arial" w:hAnsi="Arial" w:cs="Arial"/>
              <w:color w:val="000000"/>
              <w:sz w:val="16"/>
              <w:szCs w:val="16"/>
            </w:rPr>
          </w:pPr>
        </w:p>
      </w:tc>
      <w:tc>
        <w:tcPr>
          <w:tcW w:w="3051" w:type="dxa"/>
        </w:tcPr>
        <w:p w14:paraId="4FFDFDDF" w14:textId="77777777" w:rsidR="00DF153C" w:rsidRPr="0002057F" w:rsidRDefault="00DF153C" w:rsidP="00DF153C">
          <w:pPr>
            <w:pStyle w:val="Footer"/>
            <w:ind w:right="180"/>
            <w:jc w:val="right"/>
            <w:rPr>
              <w:rFonts w:ascii="Arial" w:hAnsi="Arial" w:cs="Arial"/>
              <w:color w:val="808080"/>
              <w:sz w:val="16"/>
              <w:szCs w:val="16"/>
            </w:rPr>
          </w:pPr>
          <w:r w:rsidRPr="0002057F">
            <w:rPr>
              <w:rFonts w:ascii="Arial" w:hAnsi="Arial" w:cs="Arial"/>
              <w:color w:val="808080"/>
              <w:sz w:val="16"/>
              <w:szCs w:val="16"/>
            </w:rPr>
            <w:t xml:space="preserve">Print date:  </w:t>
          </w:r>
          <w:r w:rsidR="00457CE4" w:rsidRPr="0002057F">
            <w:rPr>
              <w:rFonts w:ascii="Arial" w:hAnsi="Arial" w:cs="Arial"/>
              <w:color w:val="808080"/>
              <w:sz w:val="16"/>
              <w:szCs w:val="16"/>
            </w:rPr>
            <w:fldChar w:fldCharType="begin"/>
          </w:r>
          <w:r w:rsidRPr="0002057F">
            <w:rPr>
              <w:rFonts w:ascii="Arial" w:hAnsi="Arial" w:cs="Arial"/>
              <w:color w:val="808080"/>
              <w:sz w:val="16"/>
              <w:szCs w:val="16"/>
            </w:rPr>
            <w:instrText xml:space="preserve"> PRINTDATE  \@ "MMMM d, yyyy"  \* MERGEFORMAT </w:instrText>
          </w:r>
          <w:r w:rsidR="00457CE4" w:rsidRPr="0002057F">
            <w:rPr>
              <w:rFonts w:ascii="Arial" w:hAnsi="Arial" w:cs="Arial"/>
              <w:color w:val="808080"/>
              <w:sz w:val="16"/>
              <w:szCs w:val="16"/>
            </w:rPr>
            <w:fldChar w:fldCharType="separate"/>
          </w:r>
          <w:r w:rsidR="00DB45DC">
            <w:rPr>
              <w:rFonts w:ascii="Arial" w:hAnsi="Arial" w:cs="Arial"/>
              <w:noProof/>
              <w:color w:val="808080"/>
              <w:sz w:val="16"/>
              <w:szCs w:val="16"/>
            </w:rPr>
            <w:t>June 11, 2013</w:t>
          </w:r>
          <w:r w:rsidR="00457CE4" w:rsidRPr="0002057F">
            <w:rPr>
              <w:rFonts w:ascii="Arial" w:hAnsi="Arial" w:cs="Arial"/>
              <w:color w:val="808080"/>
              <w:sz w:val="16"/>
              <w:szCs w:val="16"/>
            </w:rPr>
            <w:fldChar w:fldCharType="end"/>
          </w:r>
        </w:p>
      </w:tc>
    </w:tr>
  </w:tbl>
  <w:p w14:paraId="4FFDFDE1" w14:textId="77777777" w:rsidR="006F05FA" w:rsidRDefault="006F05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FDFDD2" w14:textId="77777777" w:rsidR="003B4558" w:rsidRDefault="003B4558">
      <w:r>
        <w:separator/>
      </w:r>
    </w:p>
  </w:footnote>
  <w:footnote w:type="continuationSeparator" w:id="0">
    <w:p w14:paraId="4FFDFDD3" w14:textId="77777777" w:rsidR="003B4558" w:rsidRDefault="003B45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FDFDD6" w14:textId="0260F3C1" w:rsidR="006F05FA" w:rsidRPr="00061220" w:rsidRDefault="006F05FA" w:rsidP="00CE5663">
    <w:pPr>
      <w:pStyle w:val="CoverHeader"/>
      <w:rPr>
        <w:rFonts w:ascii="Times New Roman" w:hAnsi="Times New Roman"/>
        <w:sz w:val="24"/>
        <w:szCs w:val="24"/>
      </w:rPr>
    </w:pPr>
  </w:p>
  <w:p w14:paraId="4FFDFDD7" w14:textId="77777777" w:rsidR="006F05FA" w:rsidRPr="00CE5663" w:rsidRDefault="006F05FA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14833"/>
    <w:multiLevelType w:val="multilevel"/>
    <w:tmpl w:val="C4A46E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085553E8"/>
    <w:multiLevelType w:val="hybridMultilevel"/>
    <w:tmpl w:val="4BE2A5B8"/>
    <w:lvl w:ilvl="0" w:tplc="038E95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3B17C4"/>
    <w:multiLevelType w:val="hybridMultilevel"/>
    <w:tmpl w:val="C7B8834C"/>
    <w:lvl w:ilvl="0" w:tplc="2F9E349C">
      <w:start w:val="1"/>
      <w:numFmt w:val="bullet"/>
      <w:lvlText w:val=""/>
      <w:lvlJc w:val="left"/>
      <w:pPr>
        <w:tabs>
          <w:tab w:val="num" w:pos="2376"/>
        </w:tabs>
        <w:ind w:left="2376" w:hanging="57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6808B1"/>
    <w:multiLevelType w:val="singleLevel"/>
    <w:tmpl w:val="502E644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</w:abstractNum>
  <w:abstractNum w:abstractNumId="4">
    <w:nsid w:val="12AF7970"/>
    <w:multiLevelType w:val="hybridMultilevel"/>
    <w:tmpl w:val="FE1C10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2B30B01"/>
    <w:multiLevelType w:val="hybridMultilevel"/>
    <w:tmpl w:val="D1E48E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233819"/>
    <w:multiLevelType w:val="hybridMultilevel"/>
    <w:tmpl w:val="40CAF03E"/>
    <w:lvl w:ilvl="0" w:tplc="038E95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FA2162"/>
    <w:multiLevelType w:val="hybridMultilevel"/>
    <w:tmpl w:val="A76684F8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8">
    <w:nsid w:val="1F1A5830"/>
    <w:multiLevelType w:val="hybridMultilevel"/>
    <w:tmpl w:val="F79EF316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>
    <w:nsid w:val="21FC73B9"/>
    <w:multiLevelType w:val="hybridMultilevel"/>
    <w:tmpl w:val="C1A0AC12"/>
    <w:lvl w:ilvl="0" w:tplc="0409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abstractNum w:abstractNumId="10">
    <w:nsid w:val="280D3B7E"/>
    <w:multiLevelType w:val="multilevel"/>
    <w:tmpl w:val="C4A46E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>
    <w:nsid w:val="30C8344B"/>
    <w:multiLevelType w:val="hybridMultilevel"/>
    <w:tmpl w:val="9EDE16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80A183F"/>
    <w:multiLevelType w:val="hybridMultilevel"/>
    <w:tmpl w:val="DCB462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313D8D"/>
    <w:multiLevelType w:val="hybridMultilevel"/>
    <w:tmpl w:val="FA0E807C"/>
    <w:lvl w:ilvl="0" w:tplc="2F9E349C">
      <w:start w:val="1"/>
      <w:numFmt w:val="bullet"/>
      <w:lvlText w:val=""/>
      <w:lvlJc w:val="left"/>
      <w:pPr>
        <w:tabs>
          <w:tab w:val="num" w:pos="2376"/>
        </w:tabs>
        <w:ind w:left="2376" w:hanging="57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9C558B1"/>
    <w:multiLevelType w:val="hybridMultilevel"/>
    <w:tmpl w:val="8B965D98"/>
    <w:lvl w:ilvl="0" w:tplc="038E95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0D8381B"/>
    <w:multiLevelType w:val="hybridMultilevel"/>
    <w:tmpl w:val="425C4D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5E44F8C"/>
    <w:multiLevelType w:val="hybridMultilevel"/>
    <w:tmpl w:val="D63AF0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C597960"/>
    <w:multiLevelType w:val="hybridMultilevel"/>
    <w:tmpl w:val="50540B6C"/>
    <w:lvl w:ilvl="0" w:tplc="038E95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0E8376B"/>
    <w:multiLevelType w:val="hybridMultilevel"/>
    <w:tmpl w:val="71A42F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3210A63"/>
    <w:multiLevelType w:val="multilevel"/>
    <w:tmpl w:val="2CA048C8"/>
    <w:lvl w:ilvl="0">
      <w:start w:val="1"/>
      <w:numFmt w:val="decimal"/>
      <w:pStyle w:val="Heading2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>
    <w:nsid w:val="745E1AA2"/>
    <w:multiLevelType w:val="multilevel"/>
    <w:tmpl w:val="75E8DF76"/>
    <w:lvl w:ilvl="0">
      <w:start w:val="1"/>
      <w:numFmt w:val="upperRoman"/>
      <w:lvlText w:val="Article %1."/>
      <w:lvlJc w:val="left"/>
      <w:pPr>
        <w:tabs>
          <w:tab w:val="num" w:pos="10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74827E79"/>
    <w:multiLevelType w:val="hybridMultilevel"/>
    <w:tmpl w:val="6608B29C"/>
    <w:lvl w:ilvl="0" w:tplc="0409000F">
      <w:start w:val="1"/>
      <w:numFmt w:val="decimal"/>
      <w:lvlText w:val="%1.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2">
    <w:nsid w:val="754D4D11"/>
    <w:multiLevelType w:val="hybridMultilevel"/>
    <w:tmpl w:val="94867C72"/>
    <w:lvl w:ilvl="0" w:tplc="A5E483A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77D4FE3"/>
    <w:multiLevelType w:val="hybridMultilevel"/>
    <w:tmpl w:val="B33A4F8C"/>
    <w:lvl w:ilvl="0" w:tplc="038E95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0"/>
  </w:num>
  <w:num w:numId="3">
    <w:abstractNumId w:val="2"/>
  </w:num>
  <w:num w:numId="4">
    <w:abstractNumId w:val="3"/>
  </w:num>
  <w:num w:numId="5">
    <w:abstractNumId w:val="5"/>
  </w:num>
  <w:num w:numId="6">
    <w:abstractNumId w:val="18"/>
  </w:num>
  <w:num w:numId="7">
    <w:abstractNumId w:val="22"/>
  </w:num>
  <w:num w:numId="8">
    <w:abstractNumId w:val="13"/>
  </w:num>
  <w:num w:numId="9">
    <w:abstractNumId w:val="23"/>
  </w:num>
  <w:num w:numId="10">
    <w:abstractNumId w:val="17"/>
  </w:num>
  <w:num w:numId="11">
    <w:abstractNumId w:val="1"/>
  </w:num>
  <w:num w:numId="12">
    <w:abstractNumId w:val="6"/>
  </w:num>
  <w:num w:numId="13">
    <w:abstractNumId w:val="14"/>
  </w:num>
  <w:num w:numId="14">
    <w:abstractNumId w:val="12"/>
  </w:num>
  <w:num w:numId="15">
    <w:abstractNumId w:val="4"/>
  </w:num>
  <w:num w:numId="16">
    <w:abstractNumId w:val="11"/>
  </w:num>
  <w:num w:numId="17">
    <w:abstractNumId w:val="19"/>
  </w:num>
  <w:num w:numId="18">
    <w:abstractNumId w:val="21"/>
  </w:num>
  <w:num w:numId="19">
    <w:abstractNumId w:val="10"/>
  </w:num>
  <w:num w:numId="20">
    <w:abstractNumId w:val="8"/>
  </w:num>
  <w:num w:numId="21">
    <w:abstractNumId w:val="19"/>
    <w:lvlOverride w:ilvl="0">
      <w:startOverride w:val="6"/>
    </w:lvlOverride>
    <w:lvlOverride w:ilvl="1">
      <w:startOverride w:val="2"/>
    </w:lvlOverride>
  </w:num>
  <w:num w:numId="22">
    <w:abstractNumId w:val="0"/>
  </w:num>
  <w:num w:numId="23">
    <w:abstractNumId w:val="7"/>
  </w:num>
  <w:num w:numId="24">
    <w:abstractNumId w:val="9"/>
  </w:num>
  <w:num w:numId="25">
    <w:abstractNumId w:val="15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DA7"/>
    <w:rsid w:val="00000D62"/>
    <w:rsid w:val="00006405"/>
    <w:rsid w:val="00007ED9"/>
    <w:rsid w:val="00011212"/>
    <w:rsid w:val="0002057F"/>
    <w:rsid w:val="00023ADC"/>
    <w:rsid w:val="0003034F"/>
    <w:rsid w:val="0003129E"/>
    <w:rsid w:val="00035FE8"/>
    <w:rsid w:val="0004067C"/>
    <w:rsid w:val="00044581"/>
    <w:rsid w:val="00045476"/>
    <w:rsid w:val="000458D8"/>
    <w:rsid w:val="0005048F"/>
    <w:rsid w:val="00051CA4"/>
    <w:rsid w:val="00055892"/>
    <w:rsid w:val="00056E40"/>
    <w:rsid w:val="00056FAD"/>
    <w:rsid w:val="0005717E"/>
    <w:rsid w:val="00057221"/>
    <w:rsid w:val="00061220"/>
    <w:rsid w:val="00062460"/>
    <w:rsid w:val="000672AA"/>
    <w:rsid w:val="000713C7"/>
    <w:rsid w:val="00072AC7"/>
    <w:rsid w:val="0007606A"/>
    <w:rsid w:val="0008165E"/>
    <w:rsid w:val="00082255"/>
    <w:rsid w:val="00084F14"/>
    <w:rsid w:val="00092A42"/>
    <w:rsid w:val="000A3986"/>
    <w:rsid w:val="000A42E2"/>
    <w:rsid w:val="000B1CD4"/>
    <w:rsid w:val="000B5347"/>
    <w:rsid w:val="000B5CD6"/>
    <w:rsid w:val="000C2907"/>
    <w:rsid w:val="000C2AB1"/>
    <w:rsid w:val="000D5B1E"/>
    <w:rsid w:val="000E1AB0"/>
    <w:rsid w:val="000F23A6"/>
    <w:rsid w:val="00102FD8"/>
    <w:rsid w:val="00112C35"/>
    <w:rsid w:val="001176DF"/>
    <w:rsid w:val="001234C9"/>
    <w:rsid w:val="00125DC9"/>
    <w:rsid w:val="001326ED"/>
    <w:rsid w:val="001463F3"/>
    <w:rsid w:val="00150332"/>
    <w:rsid w:val="00150B5D"/>
    <w:rsid w:val="00150C48"/>
    <w:rsid w:val="00152652"/>
    <w:rsid w:val="00154482"/>
    <w:rsid w:val="001562ED"/>
    <w:rsid w:val="00156B29"/>
    <w:rsid w:val="00172E19"/>
    <w:rsid w:val="001807FE"/>
    <w:rsid w:val="00182F26"/>
    <w:rsid w:val="001A332F"/>
    <w:rsid w:val="001A425D"/>
    <w:rsid w:val="001A7C9F"/>
    <w:rsid w:val="001B289D"/>
    <w:rsid w:val="001B495F"/>
    <w:rsid w:val="001C0CAA"/>
    <w:rsid w:val="001C5D88"/>
    <w:rsid w:val="001C6031"/>
    <w:rsid w:val="001C6E81"/>
    <w:rsid w:val="001D613A"/>
    <w:rsid w:val="001E0986"/>
    <w:rsid w:val="001E7593"/>
    <w:rsid w:val="001F0B69"/>
    <w:rsid w:val="0020296E"/>
    <w:rsid w:val="00214DD3"/>
    <w:rsid w:val="00233A84"/>
    <w:rsid w:val="0023502B"/>
    <w:rsid w:val="00236D38"/>
    <w:rsid w:val="002503C0"/>
    <w:rsid w:val="00254968"/>
    <w:rsid w:val="00261CA2"/>
    <w:rsid w:val="00263985"/>
    <w:rsid w:val="002651AE"/>
    <w:rsid w:val="002653CB"/>
    <w:rsid w:val="002672E9"/>
    <w:rsid w:val="00267854"/>
    <w:rsid w:val="002778CD"/>
    <w:rsid w:val="002807D9"/>
    <w:rsid w:val="00281222"/>
    <w:rsid w:val="00281396"/>
    <w:rsid w:val="00283F1E"/>
    <w:rsid w:val="00286C44"/>
    <w:rsid w:val="002A290F"/>
    <w:rsid w:val="002A478B"/>
    <w:rsid w:val="002A5BC1"/>
    <w:rsid w:val="002C472A"/>
    <w:rsid w:val="002C7550"/>
    <w:rsid w:val="002C7ED8"/>
    <w:rsid w:val="002E0204"/>
    <w:rsid w:val="002E1725"/>
    <w:rsid w:val="002E2926"/>
    <w:rsid w:val="002E653E"/>
    <w:rsid w:val="002E7A50"/>
    <w:rsid w:val="002F7862"/>
    <w:rsid w:val="003001EC"/>
    <w:rsid w:val="00300EBA"/>
    <w:rsid w:val="003047D6"/>
    <w:rsid w:val="00305B2E"/>
    <w:rsid w:val="00312FCB"/>
    <w:rsid w:val="00315999"/>
    <w:rsid w:val="00317F8F"/>
    <w:rsid w:val="0032019C"/>
    <w:rsid w:val="003219AC"/>
    <w:rsid w:val="0032779C"/>
    <w:rsid w:val="00327BF6"/>
    <w:rsid w:val="0033058F"/>
    <w:rsid w:val="00330B30"/>
    <w:rsid w:val="00336B71"/>
    <w:rsid w:val="00337284"/>
    <w:rsid w:val="00343C8E"/>
    <w:rsid w:val="0034473A"/>
    <w:rsid w:val="00345502"/>
    <w:rsid w:val="003506F7"/>
    <w:rsid w:val="0035155D"/>
    <w:rsid w:val="003520EC"/>
    <w:rsid w:val="00356904"/>
    <w:rsid w:val="00356A84"/>
    <w:rsid w:val="00360A22"/>
    <w:rsid w:val="00361C8F"/>
    <w:rsid w:val="00365959"/>
    <w:rsid w:val="00365D5C"/>
    <w:rsid w:val="00370F80"/>
    <w:rsid w:val="003803A7"/>
    <w:rsid w:val="00392606"/>
    <w:rsid w:val="003A4041"/>
    <w:rsid w:val="003A52C2"/>
    <w:rsid w:val="003B01DF"/>
    <w:rsid w:val="003B057E"/>
    <w:rsid w:val="003B4558"/>
    <w:rsid w:val="003B4EB8"/>
    <w:rsid w:val="003C1205"/>
    <w:rsid w:val="003C13F8"/>
    <w:rsid w:val="003D6D8B"/>
    <w:rsid w:val="003D7B8F"/>
    <w:rsid w:val="003D7C8B"/>
    <w:rsid w:val="003E173D"/>
    <w:rsid w:val="003E22D0"/>
    <w:rsid w:val="003E44A5"/>
    <w:rsid w:val="003E551E"/>
    <w:rsid w:val="003E6E3B"/>
    <w:rsid w:val="003F5111"/>
    <w:rsid w:val="003F584F"/>
    <w:rsid w:val="003F743A"/>
    <w:rsid w:val="003F7BB5"/>
    <w:rsid w:val="0040763F"/>
    <w:rsid w:val="00412351"/>
    <w:rsid w:val="0041303B"/>
    <w:rsid w:val="004222EC"/>
    <w:rsid w:val="00423172"/>
    <w:rsid w:val="00423292"/>
    <w:rsid w:val="0043188B"/>
    <w:rsid w:val="00432070"/>
    <w:rsid w:val="00437B18"/>
    <w:rsid w:val="00440128"/>
    <w:rsid w:val="00441FFD"/>
    <w:rsid w:val="00453779"/>
    <w:rsid w:val="004544FC"/>
    <w:rsid w:val="00457CE4"/>
    <w:rsid w:val="00466029"/>
    <w:rsid w:val="00491632"/>
    <w:rsid w:val="00493AB5"/>
    <w:rsid w:val="00495B62"/>
    <w:rsid w:val="004A1087"/>
    <w:rsid w:val="004A1AF3"/>
    <w:rsid w:val="004A6836"/>
    <w:rsid w:val="004A6930"/>
    <w:rsid w:val="004A7AE9"/>
    <w:rsid w:val="004A7BAD"/>
    <w:rsid w:val="004A7C0C"/>
    <w:rsid w:val="004B59E8"/>
    <w:rsid w:val="004B5FE1"/>
    <w:rsid w:val="004C3E3E"/>
    <w:rsid w:val="004D20DC"/>
    <w:rsid w:val="004D7711"/>
    <w:rsid w:val="004E0CFF"/>
    <w:rsid w:val="004E10AC"/>
    <w:rsid w:val="004E1510"/>
    <w:rsid w:val="004E23EB"/>
    <w:rsid w:val="004E65CB"/>
    <w:rsid w:val="004E764A"/>
    <w:rsid w:val="004F47FD"/>
    <w:rsid w:val="004F57FD"/>
    <w:rsid w:val="0050415C"/>
    <w:rsid w:val="00512B0E"/>
    <w:rsid w:val="00521B8A"/>
    <w:rsid w:val="005232CB"/>
    <w:rsid w:val="00523DF3"/>
    <w:rsid w:val="00525102"/>
    <w:rsid w:val="00526E65"/>
    <w:rsid w:val="00527ACB"/>
    <w:rsid w:val="00527DD8"/>
    <w:rsid w:val="0054563E"/>
    <w:rsid w:val="00545ED8"/>
    <w:rsid w:val="00546E7C"/>
    <w:rsid w:val="00547C3F"/>
    <w:rsid w:val="00551152"/>
    <w:rsid w:val="005524A7"/>
    <w:rsid w:val="00552F0B"/>
    <w:rsid w:val="00553FE1"/>
    <w:rsid w:val="00556249"/>
    <w:rsid w:val="00557C1E"/>
    <w:rsid w:val="00562435"/>
    <w:rsid w:val="00562EB2"/>
    <w:rsid w:val="00563798"/>
    <w:rsid w:val="0057016D"/>
    <w:rsid w:val="005722A0"/>
    <w:rsid w:val="00581015"/>
    <w:rsid w:val="00583D45"/>
    <w:rsid w:val="005845DD"/>
    <w:rsid w:val="00587E3A"/>
    <w:rsid w:val="00595A4B"/>
    <w:rsid w:val="00596E9A"/>
    <w:rsid w:val="00597B99"/>
    <w:rsid w:val="005A0815"/>
    <w:rsid w:val="005A5FC9"/>
    <w:rsid w:val="005A746D"/>
    <w:rsid w:val="005B12E2"/>
    <w:rsid w:val="005B3DED"/>
    <w:rsid w:val="005C6618"/>
    <w:rsid w:val="005C7B25"/>
    <w:rsid w:val="005D1814"/>
    <w:rsid w:val="005E3D7E"/>
    <w:rsid w:val="005E5907"/>
    <w:rsid w:val="005E5D8A"/>
    <w:rsid w:val="005E6F69"/>
    <w:rsid w:val="00602596"/>
    <w:rsid w:val="00605F3A"/>
    <w:rsid w:val="006073B5"/>
    <w:rsid w:val="00607E13"/>
    <w:rsid w:val="00610A18"/>
    <w:rsid w:val="00614909"/>
    <w:rsid w:val="00626919"/>
    <w:rsid w:val="00630256"/>
    <w:rsid w:val="00636FDB"/>
    <w:rsid w:val="00640535"/>
    <w:rsid w:val="00641DD1"/>
    <w:rsid w:val="00647500"/>
    <w:rsid w:val="00647B65"/>
    <w:rsid w:val="00653933"/>
    <w:rsid w:val="00657CF5"/>
    <w:rsid w:val="00657E13"/>
    <w:rsid w:val="00670BE0"/>
    <w:rsid w:val="00672E5B"/>
    <w:rsid w:val="006748B5"/>
    <w:rsid w:val="006768AD"/>
    <w:rsid w:val="00677F0F"/>
    <w:rsid w:val="0068024F"/>
    <w:rsid w:val="00681923"/>
    <w:rsid w:val="00685B30"/>
    <w:rsid w:val="00686C03"/>
    <w:rsid w:val="00694E71"/>
    <w:rsid w:val="006A0E58"/>
    <w:rsid w:val="006A2A67"/>
    <w:rsid w:val="006C249D"/>
    <w:rsid w:val="006C333D"/>
    <w:rsid w:val="006C39CC"/>
    <w:rsid w:val="006C4B79"/>
    <w:rsid w:val="006C5071"/>
    <w:rsid w:val="006D2881"/>
    <w:rsid w:val="006D297F"/>
    <w:rsid w:val="006D3950"/>
    <w:rsid w:val="006D626D"/>
    <w:rsid w:val="006E0A00"/>
    <w:rsid w:val="006E39A2"/>
    <w:rsid w:val="006F05FA"/>
    <w:rsid w:val="006F2E1E"/>
    <w:rsid w:val="006F6071"/>
    <w:rsid w:val="006F761F"/>
    <w:rsid w:val="00703BD7"/>
    <w:rsid w:val="007069DB"/>
    <w:rsid w:val="00710907"/>
    <w:rsid w:val="00714657"/>
    <w:rsid w:val="00717B12"/>
    <w:rsid w:val="007230AF"/>
    <w:rsid w:val="00724CE2"/>
    <w:rsid w:val="007304FB"/>
    <w:rsid w:val="00731DD3"/>
    <w:rsid w:val="007329AC"/>
    <w:rsid w:val="00732B07"/>
    <w:rsid w:val="007348C8"/>
    <w:rsid w:val="00734AD8"/>
    <w:rsid w:val="007366FB"/>
    <w:rsid w:val="007373E9"/>
    <w:rsid w:val="00737BF7"/>
    <w:rsid w:val="00742421"/>
    <w:rsid w:val="00742BFF"/>
    <w:rsid w:val="00745433"/>
    <w:rsid w:val="0075296F"/>
    <w:rsid w:val="00752B5D"/>
    <w:rsid w:val="00752CF5"/>
    <w:rsid w:val="0075374E"/>
    <w:rsid w:val="007540AD"/>
    <w:rsid w:val="007571F9"/>
    <w:rsid w:val="0076018B"/>
    <w:rsid w:val="00761471"/>
    <w:rsid w:val="00767A4E"/>
    <w:rsid w:val="00770450"/>
    <w:rsid w:val="0077467E"/>
    <w:rsid w:val="00781205"/>
    <w:rsid w:val="00791CC2"/>
    <w:rsid w:val="00792EE5"/>
    <w:rsid w:val="00797421"/>
    <w:rsid w:val="007A4971"/>
    <w:rsid w:val="007A6919"/>
    <w:rsid w:val="007A7133"/>
    <w:rsid w:val="007A7231"/>
    <w:rsid w:val="007B04DC"/>
    <w:rsid w:val="007B1948"/>
    <w:rsid w:val="007D7092"/>
    <w:rsid w:val="007E2E4D"/>
    <w:rsid w:val="007E7FE8"/>
    <w:rsid w:val="007F3371"/>
    <w:rsid w:val="0080224C"/>
    <w:rsid w:val="00813A29"/>
    <w:rsid w:val="00814AE3"/>
    <w:rsid w:val="00820B6D"/>
    <w:rsid w:val="00825C79"/>
    <w:rsid w:val="00830CAF"/>
    <w:rsid w:val="00831F53"/>
    <w:rsid w:val="00832AC4"/>
    <w:rsid w:val="00834AF2"/>
    <w:rsid w:val="00837F4C"/>
    <w:rsid w:val="00843598"/>
    <w:rsid w:val="0084707C"/>
    <w:rsid w:val="008508C5"/>
    <w:rsid w:val="008508C8"/>
    <w:rsid w:val="008577C9"/>
    <w:rsid w:val="00863377"/>
    <w:rsid w:val="00863899"/>
    <w:rsid w:val="00867E25"/>
    <w:rsid w:val="0087147C"/>
    <w:rsid w:val="008730B1"/>
    <w:rsid w:val="0087450D"/>
    <w:rsid w:val="00881565"/>
    <w:rsid w:val="00884897"/>
    <w:rsid w:val="008851B4"/>
    <w:rsid w:val="00887CEE"/>
    <w:rsid w:val="0089078D"/>
    <w:rsid w:val="00894573"/>
    <w:rsid w:val="008A432A"/>
    <w:rsid w:val="008A47B4"/>
    <w:rsid w:val="008A7A6E"/>
    <w:rsid w:val="008B13F7"/>
    <w:rsid w:val="008B5064"/>
    <w:rsid w:val="008C0366"/>
    <w:rsid w:val="008C2CC6"/>
    <w:rsid w:val="008C3FAB"/>
    <w:rsid w:val="008C7A27"/>
    <w:rsid w:val="008D4AB9"/>
    <w:rsid w:val="008D6DBD"/>
    <w:rsid w:val="008E0725"/>
    <w:rsid w:val="008E634C"/>
    <w:rsid w:val="008E6F00"/>
    <w:rsid w:val="0090064D"/>
    <w:rsid w:val="00903F01"/>
    <w:rsid w:val="00915A91"/>
    <w:rsid w:val="00915CCE"/>
    <w:rsid w:val="00920453"/>
    <w:rsid w:val="0092754C"/>
    <w:rsid w:val="00942165"/>
    <w:rsid w:val="009465C7"/>
    <w:rsid w:val="00950C12"/>
    <w:rsid w:val="00950D03"/>
    <w:rsid w:val="009608EE"/>
    <w:rsid w:val="009610F2"/>
    <w:rsid w:val="009625AA"/>
    <w:rsid w:val="00967996"/>
    <w:rsid w:val="00967DBC"/>
    <w:rsid w:val="00970DC7"/>
    <w:rsid w:val="00974F3F"/>
    <w:rsid w:val="0097690E"/>
    <w:rsid w:val="00982C96"/>
    <w:rsid w:val="009840BA"/>
    <w:rsid w:val="00986FB6"/>
    <w:rsid w:val="00987475"/>
    <w:rsid w:val="00990C58"/>
    <w:rsid w:val="00993151"/>
    <w:rsid w:val="00997FC5"/>
    <w:rsid w:val="009A4F04"/>
    <w:rsid w:val="009A4F3B"/>
    <w:rsid w:val="009B2C5E"/>
    <w:rsid w:val="009B3A18"/>
    <w:rsid w:val="009B610C"/>
    <w:rsid w:val="009B7786"/>
    <w:rsid w:val="009C4D98"/>
    <w:rsid w:val="009C6857"/>
    <w:rsid w:val="009D31C5"/>
    <w:rsid w:val="009D322A"/>
    <w:rsid w:val="009D3BEC"/>
    <w:rsid w:val="009D4460"/>
    <w:rsid w:val="009F1581"/>
    <w:rsid w:val="00A00544"/>
    <w:rsid w:val="00A01988"/>
    <w:rsid w:val="00A10DB1"/>
    <w:rsid w:val="00A12A54"/>
    <w:rsid w:val="00A1376D"/>
    <w:rsid w:val="00A14BC6"/>
    <w:rsid w:val="00A16226"/>
    <w:rsid w:val="00A22053"/>
    <w:rsid w:val="00A24FEA"/>
    <w:rsid w:val="00A2680B"/>
    <w:rsid w:val="00A27E01"/>
    <w:rsid w:val="00A35BA7"/>
    <w:rsid w:val="00A37AB0"/>
    <w:rsid w:val="00A425B1"/>
    <w:rsid w:val="00A5052C"/>
    <w:rsid w:val="00A57016"/>
    <w:rsid w:val="00A6357E"/>
    <w:rsid w:val="00A6533D"/>
    <w:rsid w:val="00A66D38"/>
    <w:rsid w:val="00A75B05"/>
    <w:rsid w:val="00A84017"/>
    <w:rsid w:val="00A86B4C"/>
    <w:rsid w:val="00A9551A"/>
    <w:rsid w:val="00AA17E4"/>
    <w:rsid w:val="00AA305F"/>
    <w:rsid w:val="00AA7B09"/>
    <w:rsid w:val="00AB53EE"/>
    <w:rsid w:val="00AC2CDB"/>
    <w:rsid w:val="00AC4E39"/>
    <w:rsid w:val="00AD1A99"/>
    <w:rsid w:val="00AD5D7E"/>
    <w:rsid w:val="00AE0B35"/>
    <w:rsid w:val="00AE583A"/>
    <w:rsid w:val="00AE6179"/>
    <w:rsid w:val="00AE724D"/>
    <w:rsid w:val="00AF7DB3"/>
    <w:rsid w:val="00B12F04"/>
    <w:rsid w:val="00B1530C"/>
    <w:rsid w:val="00B21187"/>
    <w:rsid w:val="00B2427B"/>
    <w:rsid w:val="00B25FD1"/>
    <w:rsid w:val="00B315FF"/>
    <w:rsid w:val="00B37663"/>
    <w:rsid w:val="00B51F2C"/>
    <w:rsid w:val="00B600DB"/>
    <w:rsid w:val="00B61306"/>
    <w:rsid w:val="00B67A31"/>
    <w:rsid w:val="00B726B2"/>
    <w:rsid w:val="00B9080E"/>
    <w:rsid w:val="00B93BD4"/>
    <w:rsid w:val="00B94E14"/>
    <w:rsid w:val="00B96F1F"/>
    <w:rsid w:val="00BA3F0F"/>
    <w:rsid w:val="00BC2663"/>
    <w:rsid w:val="00BD037E"/>
    <w:rsid w:val="00BD161A"/>
    <w:rsid w:val="00BD335F"/>
    <w:rsid w:val="00BD38AB"/>
    <w:rsid w:val="00BD5B2D"/>
    <w:rsid w:val="00BE7E88"/>
    <w:rsid w:val="00BF2F6E"/>
    <w:rsid w:val="00BF4AE1"/>
    <w:rsid w:val="00BF51DD"/>
    <w:rsid w:val="00BF71D8"/>
    <w:rsid w:val="00BF7493"/>
    <w:rsid w:val="00C02832"/>
    <w:rsid w:val="00C0481E"/>
    <w:rsid w:val="00C10CCA"/>
    <w:rsid w:val="00C137DA"/>
    <w:rsid w:val="00C23968"/>
    <w:rsid w:val="00C248B0"/>
    <w:rsid w:val="00C32519"/>
    <w:rsid w:val="00C337AB"/>
    <w:rsid w:val="00C406D9"/>
    <w:rsid w:val="00C40FD8"/>
    <w:rsid w:val="00C42E69"/>
    <w:rsid w:val="00C43800"/>
    <w:rsid w:val="00C462B1"/>
    <w:rsid w:val="00C4784A"/>
    <w:rsid w:val="00C52E73"/>
    <w:rsid w:val="00C60866"/>
    <w:rsid w:val="00C64110"/>
    <w:rsid w:val="00C64D4D"/>
    <w:rsid w:val="00C6585D"/>
    <w:rsid w:val="00C70D10"/>
    <w:rsid w:val="00C7261D"/>
    <w:rsid w:val="00C7760C"/>
    <w:rsid w:val="00C81017"/>
    <w:rsid w:val="00C8256F"/>
    <w:rsid w:val="00C835E9"/>
    <w:rsid w:val="00C85837"/>
    <w:rsid w:val="00C90B59"/>
    <w:rsid w:val="00C937E6"/>
    <w:rsid w:val="00C93A91"/>
    <w:rsid w:val="00C94AD4"/>
    <w:rsid w:val="00CA044F"/>
    <w:rsid w:val="00CA10D4"/>
    <w:rsid w:val="00CA2BA5"/>
    <w:rsid w:val="00CA701D"/>
    <w:rsid w:val="00CB4902"/>
    <w:rsid w:val="00CC6C97"/>
    <w:rsid w:val="00CD1483"/>
    <w:rsid w:val="00CD2712"/>
    <w:rsid w:val="00CE4BD7"/>
    <w:rsid w:val="00CE4F77"/>
    <w:rsid w:val="00CE5663"/>
    <w:rsid w:val="00CE6B53"/>
    <w:rsid w:val="00CE6FA3"/>
    <w:rsid w:val="00CF0D5B"/>
    <w:rsid w:val="00CF6EF1"/>
    <w:rsid w:val="00D02425"/>
    <w:rsid w:val="00D033F3"/>
    <w:rsid w:val="00D051A2"/>
    <w:rsid w:val="00D066BA"/>
    <w:rsid w:val="00D12E9F"/>
    <w:rsid w:val="00D15A40"/>
    <w:rsid w:val="00D15FDD"/>
    <w:rsid w:val="00D17BE6"/>
    <w:rsid w:val="00D25307"/>
    <w:rsid w:val="00D266E8"/>
    <w:rsid w:val="00D33B8F"/>
    <w:rsid w:val="00D36223"/>
    <w:rsid w:val="00D44E09"/>
    <w:rsid w:val="00D4519F"/>
    <w:rsid w:val="00D53612"/>
    <w:rsid w:val="00D53754"/>
    <w:rsid w:val="00D53E7A"/>
    <w:rsid w:val="00D55404"/>
    <w:rsid w:val="00D71FE9"/>
    <w:rsid w:val="00D75DA7"/>
    <w:rsid w:val="00D8051A"/>
    <w:rsid w:val="00D8257C"/>
    <w:rsid w:val="00D8480A"/>
    <w:rsid w:val="00D852C0"/>
    <w:rsid w:val="00D91170"/>
    <w:rsid w:val="00D9407F"/>
    <w:rsid w:val="00DA4401"/>
    <w:rsid w:val="00DA50ED"/>
    <w:rsid w:val="00DA6ED3"/>
    <w:rsid w:val="00DB45DC"/>
    <w:rsid w:val="00DC1E45"/>
    <w:rsid w:val="00DC2F05"/>
    <w:rsid w:val="00DD08E2"/>
    <w:rsid w:val="00DD16B6"/>
    <w:rsid w:val="00DD195B"/>
    <w:rsid w:val="00DE0BE4"/>
    <w:rsid w:val="00DE4760"/>
    <w:rsid w:val="00DE4D96"/>
    <w:rsid w:val="00DF153C"/>
    <w:rsid w:val="00DF65D2"/>
    <w:rsid w:val="00E0078C"/>
    <w:rsid w:val="00E07B05"/>
    <w:rsid w:val="00E1014E"/>
    <w:rsid w:val="00E21CFE"/>
    <w:rsid w:val="00E221C1"/>
    <w:rsid w:val="00E222C7"/>
    <w:rsid w:val="00E25514"/>
    <w:rsid w:val="00E25A63"/>
    <w:rsid w:val="00E26E64"/>
    <w:rsid w:val="00E30883"/>
    <w:rsid w:val="00E35DCD"/>
    <w:rsid w:val="00E37CE6"/>
    <w:rsid w:val="00E50DD6"/>
    <w:rsid w:val="00E606BA"/>
    <w:rsid w:val="00E615CC"/>
    <w:rsid w:val="00E63B60"/>
    <w:rsid w:val="00E64D68"/>
    <w:rsid w:val="00E66A29"/>
    <w:rsid w:val="00E671A5"/>
    <w:rsid w:val="00E7797A"/>
    <w:rsid w:val="00E96D1F"/>
    <w:rsid w:val="00EA1681"/>
    <w:rsid w:val="00EA175A"/>
    <w:rsid w:val="00EA1775"/>
    <w:rsid w:val="00EA196B"/>
    <w:rsid w:val="00EA1B16"/>
    <w:rsid w:val="00EA217E"/>
    <w:rsid w:val="00EA2B43"/>
    <w:rsid w:val="00EA5F9F"/>
    <w:rsid w:val="00EB1906"/>
    <w:rsid w:val="00EB3F65"/>
    <w:rsid w:val="00EB5DC0"/>
    <w:rsid w:val="00ED3CBD"/>
    <w:rsid w:val="00ED460E"/>
    <w:rsid w:val="00EE0501"/>
    <w:rsid w:val="00EE7E31"/>
    <w:rsid w:val="00EF0B90"/>
    <w:rsid w:val="00EF29E8"/>
    <w:rsid w:val="00EF3F57"/>
    <w:rsid w:val="00EF5D54"/>
    <w:rsid w:val="00F0651D"/>
    <w:rsid w:val="00F06F98"/>
    <w:rsid w:val="00F10664"/>
    <w:rsid w:val="00F1523A"/>
    <w:rsid w:val="00F1542F"/>
    <w:rsid w:val="00F155DF"/>
    <w:rsid w:val="00F24B4C"/>
    <w:rsid w:val="00F25F35"/>
    <w:rsid w:val="00F30CE4"/>
    <w:rsid w:val="00F41027"/>
    <w:rsid w:val="00F42C66"/>
    <w:rsid w:val="00F43B86"/>
    <w:rsid w:val="00F61AC6"/>
    <w:rsid w:val="00F70785"/>
    <w:rsid w:val="00F719D6"/>
    <w:rsid w:val="00F72FB0"/>
    <w:rsid w:val="00F73A58"/>
    <w:rsid w:val="00F73ECD"/>
    <w:rsid w:val="00F74205"/>
    <w:rsid w:val="00F75F4E"/>
    <w:rsid w:val="00F76BC7"/>
    <w:rsid w:val="00F82751"/>
    <w:rsid w:val="00F83B8A"/>
    <w:rsid w:val="00F914F0"/>
    <w:rsid w:val="00F918E6"/>
    <w:rsid w:val="00F91D10"/>
    <w:rsid w:val="00F94C91"/>
    <w:rsid w:val="00FA4696"/>
    <w:rsid w:val="00FA51C3"/>
    <w:rsid w:val="00FB5FBB"/>
    <w:rsid w:val="00FB6AA1"/>
    <w:rsid w:val="00FC1C1F"/>
    <w:rsid w:val="00FC49BD"/>
    <w:rsid w:val="00FD0331"/>
    <w:rsid w:val="00FD0F56"/>
    <w:rsid w:val="00FD2389"/>
    <w:rsid w:val="00FD2EEA"/>
    <w:rsid w:val="00FD3656"/>
    <w:rsid w:val="00FD53D6"/>
    <w:rsid w:val="00FE2A57"/>
    <w:rsid w:val="00FE5E5E"/>
    <w:rsid w:val="00FF5CCC"/>
    <w:rsid w:val="00FF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FDFD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4AD4"/>
    <w:rPr>
      <w:sz w:val="24"/>
      <w:szCs w:val="24"/>
    </w:rPr>
  </w:style>
  <w:style w:type="paragraph" w:styleId="Heading1">
    <w:name w:val="heading 1"/>
    <w:basedOn w:val="Normal"/>
    <w:next w:val="Normal"/>
    <w:autoRedefine/>
    <w:qFormat/>
    <w:rsid w:val="002F7862"/>
    <w:pPr>
      <w:keepNext/>
      <w:spacing w:before="120" w:after="240"/>
      <w:outlineLvl w:val="0"/>
    </w:pPr>
    <w:rPr>
      <w:rFonts w:ascii="Helvetica" w:hAnsi="Helvetica"/>
      <w:b/>
      <w:sz w:val="28"/>
      <w:szCs w:val="28"/>
    </w:rPr>
  </w:style>
  <w:style w:type="paragraph" w:styleId="Heading2">
    <w:name w:val="heading 2"/>
    <w:basedOn w:val="Normal"/>
    <w:next w:val="Normal"/>
    <w:autoRedefine/>
    <w:qFormat/>
    <w:rsid w:val="00CE6FA3"/>
    <w:pPr>
      <w:keepNext/>
      <w:numPr>
        <w:numId w:val="17"/>
      </w:numPr>
      <w:tabs>
        <w:tab w:val="left" w:pos="180"/>
      </w:tabs>
      <w:autoSpaceDE w:val="0"/>
      <w:autoSpaceDN w:val="0"/>
      <w:adjustRightInd w:val="0"/>
      <w:spacing w:after="60"/>
      <w:outlineLvl w:val="1"/>
    </w:pPr>
    <w:rPr>
      <w:b/>
      <w:bCs/>
      <w:caps/>
      <w:color w:val="000000"/>
      <w:sz w:val="22"/>
      <w:szCs w:val="22"/>
    </w:rPr>
  </w:style>
  <w:style w:type="paragraph" w:styleId="Heading3">
    <w:name w:val="heading 3"/>
    <w:basedOn w:val="Normal"/>
    <w:next w:val="Normal"/>
    <w:qFormat/>
    <w:rsid w:val="00583D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autoRedefine/>
    <w:qFormat/>
    <w:rsid w:val="00D15A40"/>
    <w:pPr>
      <w:spacing w:before="240" w:after="120"/>
      <w:jc w:val="center"/>
      <w:outlineLvl w:val="0"/>
    </w:pPr>
    <w:rPr>
      <w:rFonts w:ascii="Arial" w:hAnsi="Arial" w:cs="Arial"/>
      <w:b/>
      <w:bCs/>
      <w:kern w:val="28"/>
      <w:sz w:val="44"/>
      <w:szCs w:val="32"/>
    </w:rPr>
  </w:style>
  <w:style w:type="paragraph" w:customStyle="1" w:styleId="TopicTitle">
    <w:name w:val="Topic Title"/>
    <w:basedOn w:val="Normal"/>
    <w:next w:val="Normal"/>
    <w:autoRedefine/>
    <w:rsid w:val="008508C8"/>
    <w:pPr>
      <w:spacing w:before="120" w:after="120"/>
      <w:jc w:val="center"/>
    </w:pPr>
    <w:rPr>
      <w:rFonts w:ascii="Arial" w:hAnsi="Arial"/>
      <w:b/>
      <w:sz w:val="40"/>
      <w:szCs w:val="20"/>
    </w:rPr>
  </w:style>
  <w:style w:type="paragraph" w:customStyle="1" w:styleId="AppendixPageNumber">
    <w:name w:val="Appendix Page Number"/>
    <w:basedOn w:val="Footer"/>
    <w:autoRedefine/>
    <w:rsid w:val="00942165"/>
    <w:pPr>
      <w:framePr w:wrap="around" w:vAnchor="text" w:hAnchor="margin" w:xAlign="center" w:y="1"/>
    </w:pPr>
    <w:rPr>
      <w:rFonts w:ascii="Arial" w:hAnsi="Arial"/>
      <w:sz w:val="16"/>
    </w:rPr>
  </w:style>
  <w:style w:type="paragraph" w:styleId="Footer">
    <w:name w:val="footer"/>
    <w:basedOn w:val="Normal"/>
    <w:rsid w:val="00942165"/>
    <w:pPr>
      <w:tabs>
        <w:tab w:val="center" w:pos="4320"/>
        <w:tab w:val="right" w:pos="8640"/>
      </w:tabs>
    </w:pPr>
  </w:style>
  <w:style w:type="paragraph" w:customStyle="1" w:styleId="StyleHeading1ItalicAutoUnderline">
    <w:name w:val="Style Heading 1 + Italic Auto Underline"/>
    <w:basedOn w:val="Header"/>
    <w:next w:val="Heading1"/>
    <w:autoRedefine/>
    <w:rsid w:val="00942165"/>
    <w:rPr>
      <w:b/>
      <w:i/>
      <w:iCs/>
      <w:u w:val="single"/>
    </w:rPr>
  </w:style>
  <w:style w:type="paragraph" w:customStyle="1" w:styleId="Heading1ItalicUnderline">
    <w:name w:val="Heading 1 Italic Underline"/>
    <w:basedOn w:val="Heading1"/>
    <w:autoRedefine/>
    <w:rsid w:val="00942165"/>
    <w:rPr>
      <w:i/>
      <w:color w:val="000066"/>
      <w:sz w:val="20"/>
      <w:szCs w:val="20"/>
      <w:u w:val="single"/>
    </w:rPr>
  </w:style>
  <w:style w:type="paragraph" w:styleId="Header">
    <w:name w:val="header"/>
    <w:basedOn w:val="Normal"/>
    <w:rsid w:val="00942165"/>
    <w:pPr>
      <w:tabs>
        <w:tab w:val="center" w:pos="4320"/>
        <w:tab w:val="right" w:pos="8640"/>
      </w:tabs>
    </w:pPr>
  </w:style>
  <w:style w:type="paragraph" w:customStyle="1" w:styleId="StyleHeading1Italic">
    <w:name w:val="Style Heading 1 + Italic"/>
    <w:basedOn w:val="StyleHeading1ItalicAutoUnderline"/>
    <w:autoRedefine/>
    <w:rsid w:val="00942165"/>
    <w:rPr>
      <w:rFonts w:ascii="Arial" w:hAnsi="Arial"/>
      <w:sz w:val="20"/>
    </w:rPr>
  </w:style>
  <w:style w:type="paragraph" w:customStyle="1" w:styleId="DocumentTitle">
    <w:name w:val="Document Title"/>
    <w:autoRedefine/>
    <w:rsid w:val="002E2926"/>
    <w:pPr>
      <w:keepNext/>
      <w:spacing w:before="240" w:after="240"/>
      <w:jc w:val="center"/>
    </w:pPr>
    <w:rPr>
      <w:rFonts w:ascii="Arial" w:hAnsi="Arial"/>
      <w:b/>
      <w:smallCaps/>
      <w:sz w:val="40"/>
      <w:szCs w:val="52"/>
    </w:rPr>
  </w:style>
  <w:style w:type="paragraph" w:styleId="TOC1">
    <w:name w:val="toc 1"/>
    <w:basedOn w:val="Normal"/>
    <w:next w:val="Normal"/>
    <w:autoRedefine/>
    <w:uiPriority w:val="39"/>
    <w:rsid w:val="00AA17E4"/>
    <w:pPr>
      <w:tabs>
        <w:tab w:val="left" w:pos="480"/>
        <w:tab w:val="right" w:leader="dot" w:pos="10070"/>
      </w:tabs>
      <w:spacing w:line="360" w:lineRule="auto"/>
    </w:pPr>
    <w:rPr>
      <w:b/>
      <w:bCs/>
      <w:caps/>
      <w:sz w:val="20"/>
      <w:szCs w:val="20"/>
    </w:rPr>
  </w:style>
  <w:style w:type="paragraph" w:customStyle="1" w:styleId="ChapterTitle">
    <w:name w:val="Chapter Title"/>
    <w:basedOn w:val="Normal"/>
    <w:next w:val="Normal"/>
    <w:link w:val="ChapterTitleChar"/>
    <w:autoRedefine/>
    <w:rsid w:val="007069DB"/>
    <w:pPr>
      <w:spacing w:after="120"/>
    </w:pPr>
    <w:rPr>
      <w:rFonts w:ascii="Arial" w:hAnsi="Arial"/>
      <w:b/>
      <w:caps/>
      <w:sz w:val="32"/>
      <w:szCs w:val="32"/>
    </w:rPr>
  </w:style>
  <w:style w:type="character" w:customStyle="1" w:styleId="ChapterTitleChar">
    <w:name w:val="Chapter Title Char"/>
    <w:basedOn w:val="DefaultParagraphFont"/>
    <w:link w:val="ChapterTitle"/>
    <w:rsid w:val="007069DB"/>
    <w:rPr>
      <w:rFonts w:ascii="Arial" w:hAnsi="Arial"/>
      <w:b/>
      <w:caps/>
      <w:sz w:val="32"/>
      <w:szCs w:val="32"/>
      <w:lang w:val="en-US" w:eastAsia="en-US" w:bidi="ar-SA"/>
    </w:rPr>
  </w:style>
  <w:style w:type="table" w:styleId="TableGrid">
    <w:name w:val="Table Grid"/>
    <w:basedOn w:val="TableNormal"/>
    <w:rsid w:val="00706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verHeader">
    <w:name w:val="Cover Header"/>
    <w:basedOn w:val="Normal"/>
    <w:rsid w:val="007069DB"/>
    <w:pPr>
      <w:pBdr>
        <w:bottom w:val="double" w:sz="12" w:space="1" w:color="auto"/>
      </w:pBdr>
      <w:jc w:val="center"/>
    </w:pPr>
    <w:rPr>
      <w:rFonts w:ascii="Palatino" w:hAnsi="Palatino"/>
      <w:b/>
      <w:snapToGrid w:val="0"/>
      <w:sz w:val="40"/>
      <w:szCs w:val="20"/>
    </w:rPr>
  </w:style>
  <w:style w:type="paragraph" w:styleId="TOC2">
    <w:name w:val="toc 2"/>
    <w:basedOn w:val="Normal"/>
    <w:next w:val="Normal"/>
    <w:autoRedefine/>
    <w:uiPriority w:val="39"/>
    <w:rsid w:val="00D91170"/>
    <w:pPr>
      <w:ind w:left="24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semiHidden/>
    <w:rsid w:val="00D91170"/>
    <w:pPr>
      <w:ind w:left="48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rsid w:val="00D91170"/>
    <w:pPr>
      <w:ind w:left="72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rsid w:val="00D91170"/>
    <w:pPr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D91170"/>
    <w:pPr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D91170"/>
    <w:pPr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D91170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D91170"/>
    <w:pPr>
      <w:ind w:left="1920"/>
    </w:pPr>
    <w:rPr>
      <w:sz w:val="18"/>
      <w:szCs w:val="18"/>
    </w:rPr>
  </w:style>
  <w:style w:type="character" w:styleId="Hyperlink">
    <w:name w:val="Hyperlink"/>
    <w:basedOn w:val="DefaultParagraphFont"/>
    <w:uiPriority w:val="99"/>
    <w:rsid w:val="00D91170"/>
    <w:rPr>
      <w:color w:val="0000FF"/>
      <w:u w:val="single"/>
    </w:rPr>
  </w:style>
  <w:style w:type="paragraph" w:customStyle="1" w:styleId="separator">
    <w:name w:val="separator"/>
    <w:basedOn w:val="Normal"/>
    <w:next w:val="Normal"/>
    <w:rsid w:val="00D17BE6"/>
    <w:pPr>
      <w:pBdr>
        <w:top w:val="single" w:sz="6" w:space="1" w:color="auto"/>
      </w:pBdr>
      <w:spacing w:before="240"/>
      <w:ind w:left="1699"/>
    </w:pPr>
    <w:rPr>
      <w:sz w:val="20"/>
      <w:szCs w:val="20"/>
    </w:rPr>
  </w:style>
  <w:style w:type="paragraph" w:customStyle="1" w:styleId="SubTopicLabel">
    <w:name w:val="SubTopic Label"/>
    <w:basedOn w:val="Normal"/>
    <w:next w:val="Normal"/>
    <w:rsid w:val="00D17BE6"/>
    <w:rPr>
      <w:rFonts w:ascii="Arial" w:hAnsi="Arial"/>
      <w:b/>
      <w:sz w:val="20"/>
      <w:szCs w:val="20"/>
    </w:rPr>
  </w:style>
  <w:style w:type="paragraph" w:customStyle="1" w:styleId="BulletIndent1">
    <w:name w:val="Bullet Indent 1"/>
    <w:basedOn w:val="Normal"/>
    <w:rsid w:val="00D17BE6"/>
    <w:pPr>
      <w:ind w:left="187"/>
    </w:pPr>
    <w:rPr>
      <w:szCs w:val="20"/>
    </w:rPr>
  </w:style>
  <w:style w:type="paragraph" w:styleId="BalloonText">
    <w:name w:val="Balloon Text"/>
    <w:basedOn w:val="Normal"/>
    <w:link w:val="BalloonTextChar"/>
    <w:rsid w:val="004A7A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A7AE9"/>
    <w:rPr>
      <w:rFonts w:ascii="Tahoma" w:hAnsi="Tahoma" w:cs="Tahoma"/>
      <w:sz w:val="16"/>
      <w:szCs w:val="16"/>
    </w:rPr>
  </w:style>
  <w:style w:type="paragraph" w:customStyle="1" w:styleId="DevMfgNormal">
    <w:name w:val="DevMfg_Normal"/>
    <w:rsid w:val="004A7AE9"/>
    <w:pPr>
      <w:tabs>
        <w:tab w:val="right" w:pos="7200"/>
        <w:tab w:val="left" w:pos="7440"/>
      </w:tabs>
      <w:spacing w:after="120"/>
    </w:pPr>
    <w:rPr>
      <w:bCs/>
      <w:sz w:val="24"/>
    </w:rPr>
  </w:style>
  <w:style w:type="paragraph" w:styleId="ListParagraph">
    <w:name w:val="List Paragraph"/>
    <w:basedOn w:val="Normal"/>
    <w:uiPriority w:val="34"/>
    <w:qFormat/>
    <w:rsid w:val="004A7A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0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189CDA07FFC3489CE620E1A06B8646" ma:contentTypeVersion="4" ma:contentTypeDescription="Create a new document." ma:contentTypeScope="" ma:versionID="ff0af537b01d910cfb0e95dbd020c02e">
  <xsd:schema xmlns:xsd="http://www.w3.org/2001/XMLSchema" xmlns:xs="http://www.w3.org/2001/XMLSchema" xmlns:p="http://schemas.microsoft.com/office/2006/metadata/properties" xmlns:ns2="33648e8c-5399-4ce0-994e-2f4ddb1c4614" targetNamespace="http://schemas.microsoft.com/office/2006/metadata/properties" ma:root="true" ma:fieldsID="a25891ea9a3e70a5dcc6ff24cfe1fb4f" ns2:_="">
    <xsd:import namespace="33648e8c-5399-4ce0-994e-2f4ddb1c4614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EnterpriseDocumentLanguageTaxHTField0" minOccurs="0"/>
                <xsd:element ref="ns2:EnterpriseRecordSeriesCodeTaxHTField0" minOccurs="0"/>
                <xsd:element ref="ns2:EnterpriseSensitivityClassificationTaxHTField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48e8c-5399-4ce0-994e-2f4ddb1c4614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eac92628-641a-49cb-b058-03380ddc5eff}" ma:internalName="TaxCatchAll" ma:showField="CatchAllData" ma:web="aa92abef-67fd-4985-b9ab-0d854d44cc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eac92628-641a-49cb-b058-03380ddc5eff}" ma:internalName="TaxCatchAllLabel" ma:readOnly="true" ma:showField="CatchAllDataLabel" ma:web="aa92abef-67fd-4985-b9ab-0d854d44cc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nterpriseDocumentLanguageTaxHTField0" ma:index="10" ma:taxonomy="true" ma:internalName="EnterpriseDocumentLanguageTaxHTField0" ma:taxonomyFieldName="EnterpriseDocumentLanguage" ma:displayName="Lilly Document Language" ma:readOnly="false" ma:default="2;#eng|39540796-0396-4e54-afe9-a602f28bbe8f" ma:fieldId="{93e5a5e9-0ea5-4512-9a61-30e562d954b4}" ma:sspId="dc7d05db-9a88-43f7-9979-b3027636d983" ma:termSetId="29d92dd9-4caf-4659-961a-1591fcb1f2f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nterpriseRecordSeriesCodeTaxHTField0" ma:index="12" ma:taxonomy="true" ma:internalName="EnterpriseRecordSeriesCodeTaxHTField0" ma:taxonomyFieldName="EnterpriseRecordSeriesCode" ma:displayName="Lilly Record Series Code" ma:readOnly="false" ma:default="1;#ADM130|70dc3311-3e76-421c-abfa-d108df48853c" ma:fieldId="{23eb9118-512f-4e30-ae67-b759512ccd2b}" ma:sspId="dc7d05db-9a88-43f7-9979-b3027636d983" ma:termSetId="596d0819-e4b3-4e25-8f9b-94317537e49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nterpriseSensitivityClassificationTaxHTField0" ma:index="14" ma:taxonomy="true" ma:internalName="EnterpriseSensitivityClassificationTaxHTField0" ma:taxonomyFieldName="EnterpriseSensitivityClassification" ma:displayName="Lilly Sensitivity Classification" ma:readOnly="false" ma:default="3;#GREEN|ec74153f-63be-46a4-ae5f-1b86c809897d" ma:fieldId="{beb4f0e4-155c-4680-a325-d4697a0b6b89}" ma:sspId="dc7d05db-9a88-43f7-9979-b3027636d983" ma:termSetId="d0f2adb2-a6de-4981-b791-99cbcd8ecd8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3648e8c-5399-4ce0-994e-2f4ddb1c4614">
      <Value>3</Value>
      <Value>2</Value>
      <Value>1</Value>
    </TaxCatchAll>
    <EnterpriseDocumentLanguageTaxHTField0 xmlns="33648e8c-5399-4ce0-994e-2f4ddb1c4614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</TermName>
          <TermId xmlns="http://schemas.microsoft.com/office/infopath/2007/PartnerControls">39540796-0396-4e54-afe9-a602f28bbe8f</TermId>
        </TermInfo>
      </Terms>
    </EnterpriseDocumentLanguageTaxHTField0>
    <EnterpriseSensitivityClassificationTaxHTField0 xmlns="33648e8c-5399-4ce0-994e-2f4ddb1c4614">
      <Terms xmlns="http://schemas.microsoft.com/office/infopath/2007/PartnerControls">
        <TermInfo xmlns="http://schemas.microsoft.com/office/infopath/2007/PartnerControls">
          <TermName xmlns="http://schemas.microsoft.com/office/infopath/2007/PartnerControls">GREEN</TermName>
          <TermId xmlns="http://schemas.microsoft.com/office/infopath/2007/PartnerControls">ec74153f-63be-46a4-ae5f-1b86c809897d</TermId>
        </TermInfo>
      </Terms>
    </EnterpriseSensitivityClassificationTaxHTField0>
    <EnterpriseRecordSeriesCodeTaxHTField0 xmlns="33648e8c-5399-4ce0-994e-2f4ddb1c461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ADM130</TermName>
          <TermId xmlns="http://schemas.microsoft.com/office/infopath/2007/PartnerControls">70dc3311-3e76-421c-abfa-d108df48853c</TermId>
        </TermInfo>
      </Terms>
    </EnterpriseRecordSeriesCodeTaxHTField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dc7d05db-9a88-43f7-9979-b3027636d983" ContentTypeId="0x01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53968-39BA-4BBF-A9F6-35FD0E3F21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648e8c-5399-4ce0-994e-2f4ddb1c46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6E840D-4867-4F2E-B2D7-0CE4A2EDABA7}">
  <ds:schemaRefs>
    <ds:schemaRef ds:uri="http://purl.org/dc/terms/"/>
    <ds:schemaRef ds:uri="http://www.w3.org/XML/1998/namespace"/>
    <ds:schemaRef ds:uri="http://schemas.microsoft.com/office/2006/documentManagement/types"/>
    <ds:schemaRef ds:uri="http://purl.org/dc/dcmitype/"/>
    <ds:schemaRef ds:uri="33648e8c-5399-4ce0-994e-2f4ddb1c4614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D7E566A-054C-41AA-954A-AC6D094179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B00E71-D1CB-4543-9844-D1B1A8C2F15D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2055E57D-51D7-424F-AE0A-B4A8BFD32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1396</Words>
  <Characters>7961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CPH Program</vt:lpstr>
    </vt:vector>
  </TitlesOfParts>
  <Company>Eli Lilly and Company</Company>
  <LinksUpToDate>false</LinksUpToDate>
  <CharactersWithSpaces>9339</CharactersWithSpaces>
  <SharedDoc>false</SharedDoc>
  <HLinks>
    <vt:vector size="54" baseType="variant">
      <vt:variant>
        <vt:i4>1638448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_Toc225823573</vt:lpwstr>
      </vt:variant>
      <vt:variant>
        <vt:i4>1638448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_Toc225823572</vt:lpwstr>
      </vt:variant>
      <vt:variant>
        <vt:i4>1638448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_Toc225823571</vt:lpwstr>
      </vt:variant>
      <vt:variant>
        <vt:i4>1638448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_Toc225823570</vt:lpwstr>
      </vt:variant>
      <vt:variant>
        <vt:i4>1572912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_Toc225823569</vt:lpwstr>
      </vt:variant>
      <vt:variant>
        <vt:i4>1572912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_Toc225823568</vt:lpwstr>
      </vt:variant>
      <vt:variant>
        <vt:i4>1572912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_Toc225823567</vt:lpwstr>
      </vt:variant>
      <vt:variant>
        <vt:i4>1572912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_Toc225823566</vt:lpwstr>
      </vt:variant>
      <vt:variant>
        <vt:i4>1572912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_Toc225823565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CPH Program</dc:title>
  <dc:creator>u4x7528</dc:creator>
  <cp:lastModifiedBy>Eli Lilly and Company</cp:lastModifiedBy>
  <cp:revision>2</cp:revision>
  <cp:lastPrinted>2013-06-11T16:42:00Z</cp:lastPrinted>
  <dcterms:created xsi:type="dcterms:W3CDTF">2013-10-25T16:36:00Z</dcterms:created>
  <dcterms:modified xsi:type="dcterms:W3CDTF">2013-10-25T16:36:00Z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0x01010097189CDA07FFC3489CE620E1A06B8646</vt:lpwstr>
  </property>
  <property fmtid="{D5CDD505-2E9C-101B-9397-08002B2CF9AE}" pid="4" name="EnterpriseDocumentLanguage">
    <vt:lpwstr>2;#eng|39540796-0396-4e54-afe9-a602f28bbe8f</vt:lpwstr>
  </property>
  <property fmtid="{D5CDD505-2E9C-101B-9397-08002B2CF9AE}" pid="5" name="EnterpriseRecordSeriesCode">
    <vt:lpwstr>1;#ADM130|70dc3311-3e76-421c-abfa-d108df48853c</vt:lpwstr>
  </property>
  <property fmtid="{D5CDD505-2E9C-101B-9397-08002B2CF9AE}" pid="6" name="EnterpriseSensitivityClassification">
    <vt:lpwstr>3;#GREEN|ec74153f-63be-46a4-ae5f-1b86c809897d</vt:lpwstr>
  </property>
</Properties>
</file>